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9E4435" w14:textId="4DAB548B" w:rsidR="000F6B38" w:rsidRDefault="00E641B4" w:rsidP="008F6C0E">
      <w:pPr>
        <w:jc w:val="center"/>
        <w:rPr>
          <w:b/>
        </w:rPr>
      </w:pPr>
      <w:r>
        <w:rPr>
          <w:b/>
        </w:rPr>
        <w:t xml:space="preserve">BÁO CÁO THUYẾT MINH </w:t>
      </w:r>
    </w:p>
    <w:p w14:paraId="39067A16" w14:textId="1E3F360D" w:rsidR="008F6C0E" w:rsidRPr="008F6C0E" w:rsidRDefault="00772AB0" w:rsidP="008F6C0E">
      <w:pPr>
        <w:jc w:val="center"/>
        <w:rPr>
          <w:b/>
        </w:rPr>
      </w:pPr>
      <w:r>
        <w:rPr>
          <w:b/>
        </w:rPr>
        <w:t xml:space="preserve"> </w:t>
      </w:r>
      <w:r w:rsidR="00E641B4">
        <w:rPr>
          <w:b/>
        </w:rPr>
        <w:t xml:space="preserve">CĂN CỨ, </w:t>
      </w:r>
      <w:r>
        <w:rPr>
          <w:b/>
        </w:rPr>
        <w:t xml:space="preserve">PHƯƠNG PHÁP XÁC ĐỊNH </w:t>
      </w:r>
      <w:r w:rsidR="008F6C0E" w:rsidRPr="008F6C0E">
        <w:rPr>
          <w:b/>
        </w:rPr>
        <w:t xml:space="preserve"> ĐƠN GIÁ BỒI THƯỜNG CÂY TRỒNG VÀ VẬT NUÔI</w:t>
      </w:r>
    </w:p>
    <w:p w14:paraId="488682EC" w14:textId="77777777" w:rsidR="002F6C14" w:rsidRDefault="002F6C14" w:rsidP="008F6C0E">
      <w:pPr>
        <w:ind w:firstLine="720"/>
        <w:jc w:val="both"/>
        <w:rPr>
          <w:b/>
        </w:rPr>
      </w:pPr>
    </w:p>
    <w:p w14:paraId="6B5964E8" w14:textId="1B203948" w:rsidR="008F6C0E" w:rsidRDefault="007C4938" w:rsidP="008F6C0E">
      <w:pPr>
        <w:ind w:firstLine="720"/>
        <w:jc w:val="both"/>
        <w:rPr>
          <w:b/>
        </w:rPr>
      </w:pPr>
      <w:r>
        <w:rPr>
          <w:b/>
        </w:rPr>
        <w:t>I. ĐƠN GIÁ BỒI THƯỜNG CÂY T</w:t>
      </w:r>
      <w:r w:rsidR="00F34984">
        <w:rPr>
          <w:b/>
        </w:rPr>
        <w:t>R</w:t>
      </w:r>
      <w:r>
        <w:rPr>
          <w:b/>
        </w:rPr>
        <w:t xml:space="preserve">ỒNG NÔNG </w:t>
      </w:r>
      <w:r w:rsidR="00F34984">
        <w:rPr>
          <w:b/>
        </w:rPr>
        <w:t>NGHIỆP</w:t>
      </w:r>
    </w:p>
    <w:p w14:paraId="5F811BEE" w14:textId="545E7343" w:rsidR="007C4938" w:rsidRDefault="007C4938" w:rsidP="008F6C0E">
      <w:pPr>
        <w:ind w:firstLine="720"/>
        <w:jc w:val="both"/>
        <w:rPr>
          <w:b/>
        </w:rPr>
      </w:pPr>
      <w:r>
        <w:rPr>
          <w:b/>
        </w:rPr>
        <w:t xml:space="preserve">1. </w:t>
      </w:r>
      <w:r w:rsidR="00E641B4">
        <w:rPr>
          <w:b/>
        </w:rPr>
        <w:t>Căn cứ</w:t>
      </w:r>
      <w:r>
        <w:rPr>
          <w:b/>
        </w:rPr>
        <w:t xml:space="preserve"> </w:t>
      </w:r>
      <w:r w:rsidR="00521801">
        <w:rPr>
          <w:b/>
        </w:rPr>
        <w:t>xây dựng đơn giá</w:t>
      </w:r>
    </w:p>
    <w:p w14:paraId="74660103" w14:textId="1F5688F6" w:rsidR="00521801" w:rsidRPr="008F6C0E" w:rsidRDefault="00521801" w:rsidP="008F6C0E">
      <w:pPr>
        <w:ind w:firstLine="720"/>
        <w:jc w:val="both"/>
        <w:rPr>
          <w:b/>
        </w:rPr>
      </w:pPr>
      <w:r>
        <w:rPr>
          <w:b/>
        </w:rPr>
        <w:t>a</w:t>
      </w:r>
      <w:r w:rsidRPr="00521801">
        <w:t xml:space="preserve">) </w:t>
      </w:r>
      <w:r>
        <w:t>Về đ</w:t>
      </w:r>
      <w:r w:rsidRPr="00521801">
        <w:t>ịnh mức kinh tế kỹ thuật</w:t>
      </w:r>
    </w:p>
    <w:p w14:paraId="771958D7" w14:textId="77777777" w:rsidR="007C4938" w:rsidRDefault="007C4938" w:rsidP="008F6C0E">
      <w:pPr>
        <w:spacing w:before="120" w:after="0" w:line="360" w:lineRule="exact"/>
        <w:ind w:firstLine="720"/>
        <w:jc w:val="both"/>
      </w:pPr>
      <w:r>
        <w:t xml:space="preserve">- </w:t>
      </w:r>
      <w:r w:rsidR="008F6C0E">
        <w:t xml:space="preserve">Quyết định số 31/2021/QĐ-UBND, ngày 08/9/2021 quy định định mức kinh tế- kỹ thuật, tiêu chuẩn giống cây trồng, vật nuôi, thủy sản trên địa bàn tỉnh Lai Châu; </w:t>
      </w:r>
    </w:p>
    <w:p w14:paraId="22723914" w14:textId="77777777" w:rsidR="007C4938" w:rsidRDefault="007C4938" w:rsidP="008F6C0E">
      <w:pPr>
        <w:spacing w:before="120" w:after="0" w:line="360" w:lineRule="exact"/>
        <w:ind w:firstLine="720"/>
        <w:jc w:val="both"/>
      </w:pPr>
      <w:r>
        <w:t xml:space="preserve">- </w:t>
      </w:r>
      <w:r w:rsidR="008F6C0E">
        <w:t>Quyết định số 39/2022/QĐ-UBDN, ngày 28/10/2022 của UBND tỉnh Sửa đổi, bổ sung một số điều của Quyết định số 31/2021/QĐ-UBND  ngày 08/9/2021 của UBND tỉnh Lai Châu quy định định mức kinh tế - kỹ thuật, tiêu chuẩn giống cây trồng, vật nuôi, thủy sản trên địa bàn tỉnh Lai Châu;</w:t>
      </w:r>
    </w:p>
    <w:p w14:paraId="1304693E" w14:textId="77777777" w:rsidR="008F6C0E" w:rsidRDefault="007C4938" w:rsidP="008F6C0E">
      <w:pPr>
        <w:spacing w:before="120" w:after="0" w:line="360" w:lineRule="exact"/>
        <w:ind w:firstLine="720"/>
        <w:jc w:val="both"/>
      </w:pPr>
      <w:r>
        <w:t xml:space="preserve">- </w:t>
      </w:r>
      <w:r w:rsidR="008F6C0E">
        <w:t xml:space="preserve"> Quyết định số 726/QĐ-BNN-KN ngày 24/2/2022 của Bộ Nông nghiệp và PTNT về việc ban hành định mức kinh tế kỹ thuật khuyến nông Trung ương, Quy trình kỹ thuật cây chủ lực thích ứng với biến bổi khí hậu (Kèm theo Công văn số 105/TT-CCN ngày 26/01/2022 của Cục Trồng trọt),…</w:t>
      </w:r>
    </w:p>
    <w:p w14:paraId="5CA6D7B3" w14:textId="795CD8F8" w:rsidR="00521801" w:rsidRDefault="00521801" w:rsidP="00521801">
      <w:pPr>
        <w:spacing w:before="120" w:after="0" w:line="360" w:lineRule="exact"/>
        <w:ind w:firstLine="720"/>
        <w:jc w:val="both"/>
      </w:pPr>
      <w:r>
        <w:t>b) Giá vật tư nông nghiệp: Áp dụng theo Báo giá của Sở Tài chính, tham khảo các thông tin trên mạng, cửa hàng, đại lý;</w:t>
      </w:r>
    </w:p>
    <w:p w14:paraId="07ADCEFD" w14:textId="6FBEE100" w:rsidR="00521801" w:rsidRDefault="00521801" w:rsidP="00521801">
      <w:pPr>
        <w:spacing w:before="120" w:after="0" w:line="360" w:lineRule="exact"/>
        <w:ind w:firstLine="720"/>
        <w:jc w:val="both"/>
      </w:pPr>
      <w:r>
        <w:t xml:space="preserve">c) Năng suất cây trồng: </w:t>
      </w:r>
      <w:r w:rsidR="0056384F">
        <w:t>Á</w:t>
      </w:r>
      <w:r>
        <w:t>p dụng theo số liệu Niên giám thống kê, các loại cây trồng không có trong niên giám thống kê tham khảo tài liệu kỹ thuậ</w:t>
      </w:r>
      <w:r w:rsidR="0056384F">
        <w:t xml:space="preserve">t; khảo sát </w:t>
      </w:r>
      <w:r>
        <w:t>thực tế các huyện, thành phố đang triển khai thực hiện.</w:t>
      </w:r>
    </w:p>
    <w:p w14:paraId="31EA7509" w14:textId="381995AA" w:rsidR="00521801" w:rsidRDefault="00521801" w:rsidP="00521801">
      <w:pPr>
        <w:spacing w:before="120" w:after="0" w:line="360" w:lineRule="exact"/>
        <w:ind w:firstLine="720"/>
        <w:jc w:val="both"/>
      </w:pPr>
      <w:r>
        <w:t>d) Công lao  động: Tính bằng mức lương tối thiểu vùng/22 ngày làm việc.</w:t>
      </w:r>
    </w:p>
    <w:p w14:paraId="2B46331C" w14:textId="77777777" w:rsidR="001F252E" w:rsidRDefault="007C4938" w:rsidP="001F252E">
      <w:pPr>
        <w:spacing w:before="120" w:after="0" w:line="360" w:lineRule="exact"/>
        <w:ind w:firstLine="720"/>
        <w:jc w:val="both"/>
      </w:pPr>
      <w:r>
        <w:rPr>
          <w:b/>
          <w:i/>
        </w:rPr>
        <w:t>2.</w:t>
      </w:r>
      <w:r w:rsidR="008F6C0E" w:rsidRPr="007C4938">
        <w:rPr>
          <w:b/>
          <w:i/>
        </w:rPr>
        <w:t xml:space="preserve"> Đơn giá bồi thường cây hàng năm, cây lâu năm thu hoạch một lầ</w:t>
      </w:r>
      <w:r>
        <w:rPr>
          <w:b/>
          <w:i/>
        </w:rPr>
        <w:t>n</w:t>
      </w:r>
      <w:r w:rsidR="008F6C0E">
        <w:t xml:space="preserve"> Áp dụng theo hướng dẫn tại Thông tư số 77/2018/TT-BTC ngày 17/8/2018 của Bộ Tài chính hướng dẫn về phương pháp điều tra, xác định chi phí sản xuất, tính giá thành sản xuất thóc hàng hóa các vụ sản xuất trong năm. Xác định giá thành sản xuất các loại cây trồng (Ztt)</w:t>
      </w:r>
      <w:r w:rsidR="001F252E">
        <w:tab/>
      </w:r>
    </w:p>
    <w:tbl>
      <w:tblPr>
        <w:tblStyle w:val="TableGrid"/>
        <w:tblW w:w="3492" w:type="dxa"/>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1"/>
        <w:gridCol w:w="1701"/>
      </w:tblGrid>
      <w:tr w:rsidR="001F252E" w14:paraId="17FB4633" w14:textId="77777777" w:rsidTr="001F252E">
        <w:trPr>
          <w:trHeight w:val="495"/>
        </w:trPr>
        <w:tc>
          <w:tcPr>
            <w:tcW w:w="1791" w:type="dxa"/>
            <w:vMerge w:val="restart"/>
            <w:vAlign w:val="center"/>
          </w:tcPr>
          <w:p w14:paraId="3F238CDE" w14:textId="77777777" w:rsidR="001F252E" w:rsidRDefault="001F252E" w:rsidP="001F252E">
            <w:pPr>
              <w:tabs>
                <w:tab w:val="left" w:pos="2825"/>
              </w:tabs>
              <w:spacing w:before="120" w:line="360" w:lineRule="exact"/>
              <w:jc w:val="center"/>
            </w:pPr>
            <w:r>
              <w:t xml:space="preserve">          (Ztt) =</w:t>
            </w:r>
          </w:p>
        </w:tc>
        <w:tc>
          <w:tcPr>
            <w:tcW w:w="1701" w:type="dxa"/>
          </w:tcPr>
          <w:p w14:paraId="51DFF65E" w14:textId="77777777" w:rsidR="001F252E" w:rsidRDefault="001F252E" w:rsidP="001F252E">
            <w:pPr>
              <w:tabs>
                <w:tab w:val="left" w:pos="2825"/>
              </w:tabs>
              <w:spacing w:before="120" w:line="360" w:lineRule="exact"/>
            </w:pPr>
            <w:r>
              <w:t>TCtt</w:t>
            </w:r>
          </w:p>
        </w:tc>
      </w:tr>
      <w:tr w:rsidR="001F252E" w14:paraId="6F89D474" w14:textId="77777777" w:rsidTr="001F252E">
        <w:tc>
          <w:tcPr>
            <w:tcW w:w="1791" w:type="dxa"/>
            <w:vMerge/>
          </w:tcPr>
          <w:p w14:paraId="1DC0C209" w14:textId="77777777" w:rsidR="001F252E" w:rsidRDefault="001F252E" w:rsidP="001F252E">
            <w:pPr>
              <w:tabs>
                <w:tab w:val="left" w:pos="2825"/>
              </w:tabs>
              <w:spacing w:before="120" w:line="360" w:lineRule="exact"/>
              <w:jc w:val="both"/>
            </w:pPr>
          </w:p>
        </w:tc>
        <w:tc>
          <w:tcPr>
            <w:tcW w:w="1701" w:type="dxa"/>
          </w:tcPr>
          <w:p w14:paraId="06E08CE5" w14:textId="77777777" w:rsidR="001F252E" w:rsidRDefault="001F252E" w:rsidP="001F252E">
            <w:pPr>
              <w:tabs>
                <w:tab w:val="left" w:pos="2825"/>
              </w:tabs>
              <w:spacing w:before="120" w:line="360" w:lineRule="exact"/>
              <w:jc w:val="both"/>
            </w:pPr>
            <w:r>
              <w:rPr>
                <w:noProof/>
              </w:rPr>
              <mc:AlternateContent>
                <mc:Choice Requires="wps">
                  <w:drawing>
                    <wp:anchor distT="0" distB="0" distL="114300" distR="114300" simplePos="0" relativeHeight="251659264" behindDoc="0" locked="0" layoutInCell="1" allowOverlap="1" wp14:anchorId="213B1715" wp14:editId="72F14CC1">
                      <wp:simplePos x="0" y="0"/>
                      <wp:positionH relativeFrom="column">
                        <wp:posOffset>-69948</wp:posOffset>
                      </wp:positionH>
                      <wp:positionV relativeFrom="paragraph">
                        <wp:posOffset>40054</wp:posOffset>
                      </wp:positionV>
                      <wp:extent cx="448408" cy="0"/>
                      <wp:effectExtent l="0" t="0" r="27940" b="19050"/>
                      <wp:wrapNone/>
                      <wp:docPr id="5" name="Straight Connector 5"/>
                      <wp:cNvGraphicFramePr/>
                      <a:graphic xmlns:a="http://schemas.openxmlformats.org/drawingml/2006/main">
                        <a:graphicData uri="http://schemas.microsoft.com/office/word/2010/wordprocessingShape">
                          <wps:wsp>
                            <wps:cNvCnPr/>
                            <wps:spPr>
                              <a:xfrm>
                                <a:off x="0" y="0"/>
                                <a:ext cx="44840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549997FC"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pt,3.15pt" to="29.8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" strokecolor="#4579b8 [3044]"/>
                  </w:pict>
                </mc:Fallback>
              </mc:AlternateContent>
            </w:r>
            <w:r>
              <w:t>W</w:t>
            </w:r>
          </w:p>
        </w:tc>
      </w:tr>
    </w:tbl>
    <w:p w14:paraId="15A846E0" w14:textId="77777777" w:rsidR="001F252E" w:rsidRDefault="001F252E" w:rsidP="008F6C0E">
      <w:pPr>
        <w:spacing w:before="120" w:after="0" w:line="360" w:lineRule="exact"/>
        <w:jc w:val="both"/>
      </w:pPr>
    </w:p>
    <w:p w14:paraId="73B3C608" w14:textId="77777777" w:rsidR="008F6C0E" w:rsidRDefault="008F6C0E" w:rsidP="008F6C0E">
      <w:pPr>
        <w:spacing w:before="120" w:after="0" w:line="360" w:lineRule="exact"/>
        <w:jc w:val="both"/>
      </w:pPr>
      <w:r>
        <w:t xml:space="preserve"> Trong đó:</w:t>
      </w:r>
      <w:r>
        <w:tab/>
        <w:t>- Ztt  là Giá thành thực tế một kg sản phẩm cây trồng (đồng/kg);</w:t>
      </w:r>
    </w:p>
    <w:p w14:paraId="52C105C2" w14:textId="77777777" w:rsidR="008F6C0E" w:rsidRDefault="008F6C0E" w:rsidP="008F6C0E">
      <w:pPr>
        <w:spacing w:before="120" w:after="0" w:line="360" w:lineRule="exact"/>
        <w:ind w:left="720" w:firstLine="720"/>
        <w:jc w:val="both"/>
      </w:pPr>
      <w:r>
        <w:lastRenderedPageBreak/>
        <w:t>- TCtt  là Tổng chi phí sản xuất thực tế trên một ha (đồng/ha);</w:t>
      </w:r>
    </w:p>
    <w:p w14:paraId="5206D032" w14:textId="77777777" w:rsidR="008F6C0E" w:rsidRDefault="008F6C0E" w:rsidP="008F6C0E">
      <w:pPr>
        <w:spacing w:before="120" w:after="0" w:line="360" w:lineRule="exact"/>
        <w:ind w:left="720" w:firstLine="720"/>
        <w:jc w:val="both"/>
      </w:pPr>
      <w:r>
        <w:t>- W  là Năng suất thực tế thu hoạch (kg/ha).</w:t>
      </w:r>
    </w:p>
    <w:p w14:paraId="6A6DFD81" w14:textId="77777777" w:rsidR="008F6C0E" w:rsidRDefault="008F6C0E" w:rsidP="008F6C0E">
      <w:pPr>
        <w:spacing w:before="120" w:after="0" w:line="360" w:lineRule="exact"/>
        <w:ind w:firstLine="720"/>
        <w:jc w:val="both"/>
      </w:pPr>
      <w:r>
        <w:t>Căn cứ vào công thức tính trên, xác định giá thành sản xuất các loại cây trồng bình quân trong điều kiện sản xuất bình thường, không có thiên tai, dịch bệnh. Trên cơ sở giá thành sản xuất và năng suất trung bình của từng loại cây trồng, sẽ tính được mức bồi thường trên một đơn vị diện tích, như sau:</w:t>
      </w:r>
    </w:p>
    <w:p w14:paraId="18A33AEC" w14:textId="77777777" w:rsidR="008F6C0E" w:rsidRDefault="008F6C0E" w:rsidP="008F6C0E">
      <w:pPr>
        <w:spacing w:before="120" w:after="0" w:line="360" w:lineRule="exact"/>
        <w:ind w:firstLine="720"/>
        <w:jc w:val="both"/>
      </w:pPr>
      <w:r>
        <w:t>Mức bồi thường = Đơn giá bồi thường (Giá thành sản xuất) X Năng suất</w:t>
      </w:r>
    </w:p>
    <w:p w14:paraId="49182947" w14:textId="77777777" w:rsidR="008F6C0E" w:rsidRDefault="007C4938" w:rsidP="00BE0D0E">
      <w:pPr>
        <w:spacing w:before="120" w:after="0" w:line="370" w:lineRule="exact"/>
        <w:ind w:firstLine="720"/>
        <w:jc w:val="both"/>
      </w:pPr>
      <w:r>
        <w:rPr>
          <w:b/>
          <w:i/>
        </w:rPr>
        <w:t>3.</w:t>
      </w:r>
      <w:r w:rsidR="008F6C0E" w:rsidRPr="007C4938">
        <w:rPr>
          <w:b/>
          <w:i/>
        </w:rPr>
        <w:t xml:space="preserve"> Đơn giá bồi thường cây lâu năm trong thời kỳ kiến thiết cơ bản, cây lâu năm loại thu hoạch một lần</w:t>
      </w:r>
      <w:r w:rsidR="008F6C0E">
        <w:t xml:space="preserve"> thì giá trị thiệt hại của vườn cây là toàn bộ chi phí đầu tư ban đầu và chi phí chăm sóc đến thời điểm thu hồi đất.</w:t>
      </w:r>
    </w:p>
    <w:p w14:paraId="4CBE719B" w14:textId="6FB23B7C" w:rsidR="00764861" w:rsidRDefault="007C4938" w:rsidP="00BE0D0E">
      <w:pPr>
        <w:spacing w:before="120" w:after="0" w:line="370" w:lineRule="exact"/>
        <w:ind w:firstLine="720"/>
        <w:jc w:val="both"/>
      </w:pPr>
      <w:r>
        <w:rPr>
          <w:b/>
          <w:i/>
        </w:rPr>
        <w:t>4.</w:t>
      </w:r>
      <w:r w:rsidR="008F6C0E" w:rsidRPr="007C4938">
        <w:rPr>
          <w:b/>
          <w:i/>
        </w:rPr>
        <w:t xml:space="preserve"> Đơn giá bồi thường cây lâu năm cho thu hoạch nhiều lần: </w:t>
      </w:r>
      <w:r w:rsidR="00D34A57">
        <w:t xml:space="preserve">Đơn giá bồi thường được tính theo giá trị lợi nhuận thu </w:t>
      </w:r>
      <w:r w:rsidR="00D34A57" w:rsidRPr="008E7007">
        <w:rPr>
          <w:szCs w:val="28"/>
        </w:rPr>
        <w:t>được của</w:t>
      </w:r>
      <w:r w:rsidR="00C07E45">
        <w:rPr>
          <w:szCs w:val="28"/>
        </w:rPr>
        <w:t xml:space="preserve"> một đơn vị</w:t>
      </w:r>
      <w:r w:rsidR="00D34A57" w:rsidRPr="008E7007">
        <w:rPr>
          <w:szCs w:val="28"/>
        </w:rPr>
        <w:t xml:space="preserve"> </w:t>
      </w:r>
      <w:r w:rsidR="00CA41D9">
        <w:rPr>
          <w:szCs w:val="28"/>
        </w:rPr>
        <w:t>sản phẩm</w:t>
      </w:r>
      <w:r w:rsidR="008E7007" w:rsidRPr="008E7007">
        <w:rPr>
          <w:szCs w:val="28"/>
        </w:rPr>
        <w:t>. Giá trị lợi nhuận thu được của</w:t>
      </w:r>
      <w:r w:rsidR="00C07E45">
        <w:rPr>
          <w:szCs w:val="28"/>
        </w:rPr>
        <w:t xml:space="preserve"> một đơn vị</w:t>
      </w:r>
      <w:r w:rsidR="008E7007" w:rsidRPr="008E7007">
        <w:rPr>
          <w:szCs w:val="28"/>
        </w:rPr>
        <w:t xml:space="preserve"> </w:t>
      </w:r>
      <w:r w:rsidR="00CA41D9">
        <w:rPr>
          <w:szCs w:val="28"/>
        </w:rPr>
        <w:t>sản phẩm</w:t>
      </w:r>
      <w:r w:rsidR="008E7007">
        <w:t xml:space="preserve"> được tính</w:t>
      </w:r>
      <w:r w:rsidR="00764861">
        <w:t xml:space="preserve"> bằng giá bán của sản phẩm (theo giá thị trường</w:t>
      </w:r>
      <w:r w:rsidR="00060A64">
        <w:t>: đồng/kg</w:t>
      </w:r>
      <w:r w:rsidR="00764861">
        <w:t xml:space="preserve">) trừ đi giá thành sản xuất (được tính bằng toàn bộ chi phí sản xuất </w:t>
      </w:r>
      <w:r w:rsidR="00060A64">
        <w:t>thời kỳ kinh doanh chia cho năng suất</w:t>
      </w:r>
      <w:r w:rsidR="00FD4015">
        <w:t xml:space="preserve"> trung bình</w:t>
      </w:r>
      <w:r w:rsidR="00060A64">
        <w:t>).</w:t>
      </w:r>
    </w:p>
    <w:p w14:paraId="41192F02" w14:textId="77777777" w:rsidR="005B0C7B" w:rsidRDefault="00060A64" w:rsidP="00BE0D0E">
      <w:pPr>
        <w:spacing w:before="120" w:after="0" w:line="370" w:lineRule="exact"/>
        <w:ind w:firstLine="720"/>
        <w:jc w:val="both"/>
      </w:pPr>
      <w:r w:rsidRPr="0092112B">
        <w:rPr>
          <w:b/>
          <w:u w:val="single"/>
        </w:rPr>
        <w:t>Ví dụ:</w:t>
      </w:r>
      <w:r>
        <w:t xml:space="preserve"> Để sản xuất được 01 kg bưởi người dân phải đầu tư </w:t>
      </w:r>
      <w:r w:rsidR="0092112B">
        <w:t xml:space="preserve">4.762 đồng (được tính bằng toàn bộ chi phí đầu tư thời kỳ kinh doanh/năng suất trung bình= 41.417.304/8.698=4.762 đồng/kg quả). Với giá bán trung bình 01 kg bưởi tại vườn hiện nay trên thị trường khoảng 10.000 đồng/kg. </w:t>
      </w:r>
    </w:p>
    <w:p w14:paraId="7E2D488C" w14:textId="77777777" w:rsidR="00C07E45" w:rsidRDefault="00C07E45" w:rsidP="008F6C0E">
      <w:pPr>
        <w:spacing w:before="120" w:after="0" w:line="360" w:lineRule="exact"/>
        <w:ind w:firstLine="720"/>
        <w:jc w:val="both"/>
      </w:pPr>
      <w:r>
        <w:t>Lợi nhuận thu được của một đơn vị sản phẩm = 10.000 đồng/kg - 4.762 đồng</w:t>
      </w:r>
      <w:r w:rsidR="003F4B9F">
        <w:t>/kg</w:t>
      </w:r>
      <w:r>
        <w:t xml:space="preserve"> = 5.283 đồng</w:t>
      </w:r>
      <w:r w:rsidR="003F4B9F">
        <w:t>/kg</w:t>
      </w:r>
      <w:r>
        <w:t>.</w:t>
      </w:r>
    </w:p>
    <w:p w14:paraId="2A45277C" w14:textId="77777777" w:rsidR="00BF6D2A" w:rsidRPr="00BF6D2A" w:rsidRDefault="00BF6D2A" w:rsidP="00FD4015">
      <w:pPr>
        <w:spacing w:before="120" w:after="0" w:line="360" w:lineRule="exact"/>
        <w:jc w:val="both"/>
        <w:rPr>
          <w:b/>
        </w:rPr>
      </w:pPr>
      <w:r w:rsidRPr="00BF6D2A">
        <w:rPr>
          <w:b/>
        </w:rPr>
        <w:t xml:space="preserve">Mức bồi thường = </w:t>
      </w:r>
      <w:r w:rsidR="00FD4015">
        <w:rPr>
          <w:b/>
        </w:rPr>
        <w:t>Sản lượng</w:t>
      </w:r>
      <w:r w:rsidRPr="00BF6D2A">
        <w:rPr>
          <w:b/>
        </w:rPr>
        <w:t xml:space="preserve"> x số năm còn lại chưa cho thu hoạch x đơn giá </w:t>
      </w:r>
    </w:p>
    <w:p w14:paraId="5E4A5E45" w14:textId="77777777" w:rsidR="000323C0" w:rsidRDefault="000323C0" w:rsidP="00151993">
      <w:pPr>
        <w:spacing w:before="120" w:after="0" w:line="360" w:lineRule="exact"/>
        <w:ind w:firstLine="720"/>
        <w:jc w:val="both"/>
        <w:rPr>
          <w:b/>
        </w:rPr>
      </w:pPr>
      <w:r>
        <w:rPr>
          <w:b/>
        </w:rPr>
        <w:t>II. ĐƠN GIÁ BỒI THƯỜNG THIỆT HẠI ĐỐI VỚI CÂY TRỒNG LÂM NGHIỆP</w:t>
      </w:r>
    </w:p>
    <w:p w14:paraId="74FED95E" w14:textId="77777777" w:rsidR="00B87D66" w:rsidRPr="00B87D66" w:rsidRDefault="00B87D66" w:rsidP="00B87D66">
      <w:pPr>
        <w:spacing w:before="120" w:after="0" w:line="360" w:lineRule="exact"/>
        <w:ind w:firstLine="720"/>
        <w:jc w:val="both"/>
        <w:rPr>
          <w:b/>
        </w:rPr>
      </w:pPr>
      <w:r w:rsidRPr="00B87D66">
        <w:rPr>
          <w:b/>
        </w:rPr>
        <w:t>1. Đối với cây rừng trồng</w:t>
      </w:r>
    </w:p>
    <w:p w14:paraId="6FE5D88B" w14:textId="77777777" w:rsidR="00B87D66" w:rsidRPr="00B87D66" w:rsidRDefault="00B87D66" w:rsidP="00B87D66">
      <w:pPr>
        <w:spacing w:before="120" w:after="0" w:line="360" w:lineRule="exact"/>
        <w:ind w:firstLine="720"/>
        <w:jc w:val="both"/>
        <w:rPr>
          <w:b/>
          <w:i/>
          <w:iCs/>
        </w:rPr>
      </w:pPr>
      <w:r w:rsidRPr="00B87D66">
        <w:rPr>
          <w:b/>
          <w:i/>
          <w:iCs/>
        </w:rPr>
        <w:t xml:space="preserve">1.1. Cơ sở pháp lý: </w:t>
      </w:r>
    </w:p>
    <w:p w14:paraId="5FB12DD4" w14:textId="77777777" w:rsidR="00B87D66" w:rsidRPr="00B87D66" w:rsidRDefault="00B87D66" w:rsidP="00B87D66">
      <w:pPr>
        <w:spacing w:before="120" w:after="0" w:line="360" w:lineRule="exact"/>
        <w:ind w:firstLine="720"/>
        <w:jc w:val="both"/>
        <w:rPr>
          <w:bCs/>
          <w:spacing w:val="2"/>
        </w:rPr>
      </w:pPr>
      <w:r w:rsidRPr="00B87D66">
        <w:rPr>
          <w:b/>
          <w:i/>
          <w:iCs/>
          <w:spacing w:val="2"/>
        </w:rPr>
        <w:t xml:space="preserve">- </w:t>
      </w:r>
      <w:r w:rsidRPr="00B87D66">
        <w:rPr>
          <w:bCs/>
          <w:spacing w:val="2"/>
        </w:rPr>
        <w:t>Dự thảo đơn giá bồi thường đối với cây trồng lâm nghiệp được tính theo giá trị thiệt hại thực tế của cây trồng trên cơ sở các định mức kinh tế - kỹ thuật về lâm nghiệp quy định tại Thông tư số 21/2023/TT-BNNPTNT ngày 15/12/2023 của Bộ Nông nghiệp và PTNT quy định một số định mức kinh tế - kỹ thuật về lâm nghiệp;</w:t>
      </w:r>
    </w:p>
    <w:p w14:paraId="2B37F60F" w14:textId="77777777" w:rsidR="00B87D66" w:rsidRPr="00B87D66" w:rsidRDefault="00B87D66" w:rsidP="00B87D66">
      <w:pPr>
        <w:spacing w:before="120" w:after="0" w:line="360" w:lineRule="exact"/>
        <w:ind w:firstLine="720"/>
        <w:jc w:val="both"/>
        <w:rPr>
          <w:bCs/>
        </w:rPr>
      </w:pPr>
      <w:r w:rsidRPr="00B87D66">
        <w:rPr>
          <w:bCs/>
        </w:rPr>
        <w:t>- Tiêu chuẩn cây giống, mật độ trồng... được áp dụng theo các tiêu chuẩn quốc gia, tiêu chuẩn ngành về giống cây trồng lâm nghiệp và các hướng dẫn kỹ thuật trồng, chăm sóc một số loài cây lâm nghiệp của cơ quan nhà nước có thẩm quyền, các cơ sở giáo dục - đào tạo, nghiên cứu khoa học hợp pháp.</w:t>
      </w:r>
    </w:p>
    <w:p w14:paraId="1CE76156" w14:textId="77777777" w:rsidR="00B87D66" w:rsidRPr="00B87D66" w:rsidRDefault="00B87D66" w:rsidP="00B87D66">
      <w:pPr>
        <w:spacing w:before="120" w:after="0" w:line="360" w:lineRule="exact"/>
        <w:ind w:firstLine="720"/>
        <w:jc w:val="both"/>
        <w:rPr>
          <w:b/>
          <w:i/>
          <w:iCs/>
        </w:rPr>
      </w:pPr>
      <w:r w:rsidRPr="00B87D66">
        <w:rPr>
          <w:b/>
          <w:i/>
          <w:iCs/>
        </w:rPr>
        <w:lastRenderedPageBreak/>
        <w:t>1.2. Phương pháp xác định đơn giá</w:t>
      </w:r>
    </w:p>
    <w:p w14:paraId="738DE972" w14:textId="77777777" w:rsidR="00B87D66" w:rsidRPr="00B87D66" w:rsidRDefault="00B87D66" w:rsidP="00B87D66">
      <w:pPr>
        <w:spacing w:before="120" w:after="0" w:line="360" w:lineRule="exact"/>
        <w:ind w:firstLine="720"/>
        <w:jc w:val="both"/>
        <w:rPr>
          <w:bCs/>
          <w:i/>
          <w:iCs/>
        </w:rPr>
      </w:pPr>
      <w:r w:rsidRPr="00B87D66">
        <w:rPr>
          <w:b/>
          <w:i/>
          <w:iCs/>
        </w:rPr>
        <w:t>a) Số lượng loài cây và gộp nhóm gỗ:</w:t>
      </w:r>
      <w:r w:rsidRPr="00B87D66">
        <w:rPr>
          <w:bCs/>
          <w:i/>
          <w:iCs/>
        </w:rPr>
        <w:t xml:space="preserve"> </w:t>
      </w:r>
    </w:p>
    <w:p w14:paraId="2641A603" w14:textId="77777777" w:rsidR="00B87D66" w:rsidRPr="00B87D66" w:rsidRDefault="00B87D66" w:rsidP="00B87D66">
      <w:pPr>
        <w:spacing w:before="120" w:after="0" w:line="360" w:lineRule="exact"/>
        <w:ind w:firstLine="720"/>
        <w:jc w:val="both"/>
        <w:rPr>
          <w:bCs/>
        </w:rPr>
      </w:pPr>
      <w:r w:rsidRPr="00B87D66">
        <w:rPr>
          <w:bCs/>
        </w:rPr>
        <w:t>- Số lượng loài cây: Cây lấy gỗ có nhiều loài, theo kết quả điều tra lập danh mục loài cây sinh trưởng nhanh, cây sinh trưởng chậm theo Quyết định số 03/2024/QĐ-UBND ngày 16/01/2024 của UBND tỉnh, số lượng loài cây trồng rừng trên địa bàn tỉnh khoảng 30 loài.</w:t>
      </w:r>
    </w:p>
    <w:p w14:paraId="3F8A94A3" w14:textId="77777777" w:rsidR="00B87D66" w:rsidRPr="00B87D66" w:rsidRDefault="00B87D66" w:rsidP="00B87D66">
      <w:pPr>
        <w:spacing w:before="120" w:after="0" w:line="360" w:lineRule="exact"/>
        <w:ind w:firstLine="720"/>
        <w:jc w:val="both"/>
        <w:rPr>
          <w:bCs/>
        </w:rPr>
      </w:pPr>
      <w:r w:rsidRPr="00B87D66">
        <w:rPr>
          <w:bCs/>
        </w:rPr>
        <w:t>- Gộp nhóm gỗ: Kế thừa Quyết định số 30/2017/QĐ-UBND, dự thảo đơn giá được xây dựng theo hướng gộp thành các nhóm loài cây tương đồng trên cơ sở phân loại gỗ theo Tiêu chuẩn quốc gia TCVN 12619-2:2019 và Quyết định số 2198-CNR ngày 26/11/1977 của Bộ Lâm nghiệp, kết quả gộp nhóm gỗ như sau:</w:t>
      </w:r>
    </w:p>
    <w:p w14:paraId="4274F8FF" w14:textId="77777777" w:rsidR="00B87D66" w:rsidRPr="00B87D66" w:rsidRDefault="00B87D66" w:rsidP="00B87D66">
      <w:pPr>
        <w:spacing w:before="120" w:after="0" w:line="360" w:lineRule="exact"/>
        <w:ind w:firstLine="720"/>
        <w:jc w:val="both"/>
        <w:rPr>
          <w:bCs/>
        </w:rPr>
      </w:pPr>
      <w:r w:rsidRPr="00B87D66">
        <w:rPr>
          <w:bCs/>
        </w:rPr>
        <w:t xml:space="preserve">(1) Cây lấy gỗ thuộc Nhóm quý hiếm, nhóm I (Bách xanh, Gù hương, Lát hoa, Lim xanh, Muồng đen, Sưa...). </w:t>
      </w:r>
    </w:p>
    <w:p w14:paraId="1C8128EE" w14:textId="77777777" w:rsidR="00B87D66" w:rsidRPr="00B87D66" w:rsidRDefault="00B87D66" w:rsidP="00B87D66">
      <w:pPr>
        <w:spacing w:before="120" w:after="0" w:line="360" w:lineRule="exact"/>
        <w:ind w:firstLine="720"/>
        <w:jc w:val="both"/>
        <w:rPr>
          <w:bCs/>
        </w:rPr>
      </w:pPr>
      <w:r w:rsidRPr="00B87D66">
        <w:rPr>
          <w:bCs/>
        </w:rPr>
        <w:t>(2) Cây lấy gỗ thuộc Nhóm II, nhóm III (Thông ba lá, Thông đuôi ngựa, Thông nhựa, Giổi xanh, Long não, Tếch, Xoan đào...).</w:t>
      </w:r>
    </w:p>
    <w:p w14:paraId="220BE138" w14:textId="77777777" w:rsidR="00B87D66" w:rsidRPr="00B87D66" w:rsidRDefault="00B87D66" w:rsidP="00B87D66">
      <w:pPr>
        <w:spacing w:before="120" w:after="0" w:line="360" w:lineRule="exact"/>
        <w:ind w:firstLine="720"/>
        <w:jc w:val="both"/>
        <w:rPr>
          <w:bCs/>
        </w:rPr>
      </w:pPr>
      <w:r w:rsidRPr="00B87D66">
        <w:rPr>
          <w:bCs/>
        </w:rPr>
        <w:t>(3) Cây lấy lỗ thuộc từ Nhóm IV trở lên (Các loài Bạch đàn, Các loài Keo, Bồ đề, Hông, Mỡ, Re gừng, Sa mộc, Sấu, Tống quá sủ, Trám đen, Trám trắng, Trẩu, Vối thuốc, Xoan ta,...).</w:t>
      </w:r>
    </w:p>
    <w:p w14:paraId="3CCBE202" w14:textId="77777777" w:rsidR="00B87D66" w:rsidRPr="00B87D66" w:rsidRDefault="00B87D66" w:rsidP="00B87D66">
      <w:pPr>
        <w:spacing w:before="120" w:after="0" w:line="360" w:lineRule="exact"/>
        <w:ind w:firstLine="720"/>
        <w:jc w:val="both"/>
        <w:rPr>
          <w:bCs/>
        </w:rPr>
      </w:pPr>
      <w:r w:rsidRPr="00B87D66">
        <w:rPr>
          <w:b/>
          <w:i/>
          <w:iCs/>
        </w:rPr>
        <w:t>b) Xác định đơn giá:</w:t>
      </w:r>
      <w:r w:rsidRPr="00B87D66">
        <w:rPr>
          <w:b/>
        </w:rPr>
        <w:t xml:space="preserve"> </w:t>
      </w:r>
      <w:r w:rsidRPr="00B87D66">
        <w:rPr>
          <w:bCs/>
        </w:rPr>
        <w:t>Đơn giá bồi thường thiệt hại đối với các nhóm cây lấy gỗ được xác định thông qua 2 phương pháp, cụ thể:</w:t>
      </w:r>
    </w:p>
    <w:p w14:paraId="74AA3732" w14:textId="77777777" w:rsidR="00B87D66" w:rsidRPr="00B87D66" w:rsidRDefault="00B87D66" w:rsidP="00B87D66">
      <w:pPr>
        <w:spacing w:before="120" w:after="0" w:line="360" w:lineRule="exact"/>
        <w:ind w:firstLine="720"/>
        <w:jc w:val="both"/>
        <w:rPr>
          <w:bCs/>
          <w:i/>
          <w:iCs/>
        </w:rPr>
      </w:pPr>
      <w:r w:rsidRPr="00B87D66">
        <w:rPr>
          <w:bCs/>
          <w:i/>
          <w:iCs/>
        </w:rPr>
        <w:t>* Phương pháp 1: Xác định theo giá trị đầu tư:</w:t>
      </w:r>
    </w:p>
    <w:p w14:paraId="41147C83" w14:textId="77777777" w:rsidR="00B87D66" w:rsidRPr="00B87D66" w:rsidRDefault="00B87D66" w:rsidP="00B87D66">
      <w:pPr>
        <w:spacing w:before="120" w:after="0" w:line="360" w:lineRule="exact"/>
        <w:ind w:firstLine="720"/>
        <w:jc w:val="both"/>
        <w:rPr>
          <w:bCs/>
        </w:rPr>
      </w:pPr>
      <w:r w:rsidRPr="00B87D66">
        <w:rPr>
          <w:bCs/>
        </w:rPr>
        <w:t>- Định mức kinh tế - kỹ thuật: Theo Thông tư số 21/2023/TT-BNNPTNT.</w:t>
      </w:r>
    </w:p>
    <w:p w14:paraId="49F99777" w14:textId="77777777" w:rsidR="00B87D66" w:rsidRPr="00B87D66" w:rsidRDefault="00B87D66" w:rsidP="00B87D66">
      <w:pPr>
        <w:spacing w:before="120" w:after="0" w:line="360" w:lineRule="exact"/>
        <w:ind w:firstLine="720"/>
        <w:jc w:val="both"/>
        <w:rPr>
          <w:bCs/>
        </w:rPr>
      </w:pPr>
      <w:r w:rsidRPr="00B87D66">
        <w:rPr>
          <w:bCs/>
        </w:rPr>
        <w:t>- Mật độ: Là mật độ bình quân của các loài cây trong nhóm. Mật độ của từng loài cây theo tiêu chuẩn, kỹ thuật, tài liệu nghiên cứu đã được công bố.</w:t>
      </w:r>
    </w:p>
    <w:p w14:paraId="07347CF6" w14:textId="77777777" w:rsidR="00B87D66" w:rsidRPr="00B87D66" w:rsidRDefault="00B87D66" w:rsidP="00B87D66">
      <w:pPr>
        <w:spacing w:before="120" w:after="0" w:line="360" w:lineRule="exact"/>
        <w:ind w:firstLine="720"/>
        <w:jc w:val="both"/>
        <w:rPr>
          <w:bCs/>
        </w:rPr>
      </w:pPr>
      <w:r w:rsidRPr="00B87D66">
        <w:rPr>
          <w:bCs/>
        </w:rPr>
        <w:t xml:space="preserve">- Đơn giá cây giống: Là đơn giá cây giống bình quân của các loài cây trong nhóm. Đơn giá cây giống của từng loài cây được xác định thông qua báo giá gần nhất của Sở Tài chính hoặc theo bình quân giá theo thông báo giá của các cơ sở sản xuất cây giống. </w:t>
      </w:r>
    </w:p>
    <w:p w14:paraId="03AA9CD9" w14:textId="77777777" w:rsidR="00B87D66" w:rsidRPr="00B87D66" w:rsidRDefault="00B87D66" w:rsidP="00B87D66">
      <w:pPr>
        <w:spacing w:before="120" w:after="0" w:line="360" w:lineRule="exact"/>
        <w:ind w:firstLine="720"/>
        <w:jc w:val="both"/>
        <w:rPr>
          <w:bCs/>
        </w:rPr>
      </w:pPr>
      <w:r w:rsidRPr="00B87D66">
        <w:rPr>
          <w:bCs/>
        </w:rPr>
        <w:t>Đối với cây giống gieo ươm tại tỉnh, giá cây giống bằng giá bình quân của cây giống đó theo báo giá của Sở Tài chính và các cơ sở sản xuất cây giống nội tỉnh; đối với cây giống không có tại tỉnh, giá cây giống bằng giá bình quân của cây giống đó theo báo giá của các cơ sở sản xuất cây giống ngoại tỉnh cộng chi phí logistics bình quân trong nước (16,8%).</w:t>
      </w:r>
    </w:p>
    <w:p w14:paraId="434FDC24" w14:textId="77777777" w:rsidR="00B87D66" w:rsidRPr="00B87D66" w:rsidRDefault="00B87D66" w:rsidP="00B87D66">
      <w:pPr>
        <w:spacing w:before="120" w:after="0" w:line="360" w:lineRule="exact"/>
        <w:ind w:firstLine="720"/>
        <w:jc w:val="both"/>
        <w:rPr>
          <w:bCs/>
        </w:rPr>
      </w:pPr>
      <w:r w:rsidRPr="00B87D66">
        <w:rPr>
          <w:bCs/>
        </w:rPr>
        <w:t>- Giá phân bón, thuốc bảo vệ thực vật...: Theo Báo giá gần nhất của Sở Tài chính và tham khảo giá tại các cửa hàng, đại lý nội tỉnh.</w:t>
      </w:r>
    </w:p>
    <w:p w14:paraId="69BD2A77" w14:textId="77777777" w:rsidR="00B87D66" w:rsidRPr="00B87D66" w:rsidRDefault="00B87D66" w:rsidP="00B87D66">
      <w:pPr>
        <w:spacing w:before="120" w:after="0" w:line="360" w:lineRule="exact"/>
        <w:ind w:firstLine="720"/>
        <w:jc w:val="both"/>
        <w:rPr>
          <w:bCs/>
        </w:rPr>
      </w:pPr>
      <w:r w:rsidRPr="00B87D66">
        <w:rPr>
          <w:bCs/>
        </w:rPr>
        <w:lastRenderedPageBreak/>
        <w:t>- Công lao động: Theo hệ số lương quy định tại Phụ lục I Thông tư 21/2023/TT-BNNPTNT, áp dụng mức lương cơ sở 2.340.000 đồng và 26 ngày làm việc/tháng. Cụ thể: Lao động trực tiếp 284.000 đồng, lao động gián tiếp 437.000 đồng.</w:t>
      </w:r>
    </w:p>
    <w:p w14:paraId="19130BD2" w14:textId="77777777" w:rsidR="00B87D66" w:rsidRPr="00B87D66" w:rsidRDefault="00B87D66" w:rsidP="00B87D66">
      <w:pPr>
        <w:spacing w:before="120" w:after="0" w:line="360" w:lineRule="exact"/>
        <w:ind w:firstLine="720"/>
        <w:jc w:val="both"/>
        <w:rPr>
          <w:bCs/>
        </w:rPr>
      </w:pPr>
      <w:r w:rsidRPr="00B87D66">
        <w:rPr>
          <w:bCs/>
        </w:rPr>
        <w:t>- Mỗi nhóm sẽ có chung một đơn giá, đơn giá được xác định là bình quân giá trị đầu tư của các loài cây trong nhóm; chia thành 4 mức theo tuổi cây (Năm 1, năm 2, năm 3, từ năm thứ 4 trở đi), đơn giá tuổi cây từ năm thứ 4 trở đi là giá trị bình quân của giá trị đầu tư từ năm thứ 4 đến năm thứ 10.</w:t>
      </w:r>
    </w:p>
    <w:p w14:paraId="0AB9430C" w14:textId="77777777" w:rsidR="00B87D66" w:rsidRPr="00B87D66" w:rsidRDefault="00B87D66" w:rsidP="00B87D66">
      <w:pPr>
        <w:spacing w:before="120" w:after="0" w:line="360" w:lineRule="exact"/>
        <w:ind w:firstLine="720"/>
        <w:jc w:val="both"/>
        <w:rPr>
          <w:bCs/>
          <w:i/>
          <w:iCs/>
        </w:rPr>
      </w:pPr>
      <w:r w:rsidRPr="00B87D66">
        <w:rPr>
          <w:bCs/>
          <w:i/>
          <w:iCs/>
        </w:rPr>
        <w:t>* Phương pháp 2: Xác định theo giá trị gỗ:</w:t>
      </w:r>
    </w:p>
    <w:p w14:paraId="004DC8FA" w14:textId="77777777" w:rsidR="00B87D66" w:rsidRPr="00B87D66" w:rsidRDefault="00B87D66" w:rsidP="00B87D66">
      <w:pPr>
        <w:spacing w:before="120" w:after="0" w:line="360" w:lineRule="exact"/>
        <w:ind w:firstLine="720"/>
        <w:jc w:val="both"/>
        <w:rPr>
          <w:bCs/>
        </w:rPr>
      </w:pPr>
      <w:r w:rsidRPr="00B87D66">
        <w:rPr>
          <w:bCs/>
        </w:rPr>
        <w:t>Đối với cây gỗ có chu vi (vanh) ở vị trí 1,3m của cây tính từ gốc từ 19cm trở lên thì bồi thường theo giá trị gỗ cây đứng thực tế tại thời điểm bồi thường. Trường hợp giá trị gỗ cây đứng nhỏ hơn giá trị đầu tư thì bồi thường theo giá trị đầu tư.</w:t>
      </w:r>
    </w:p>
    <w:p w14:paraId="4323D957" w14:textId="77777777" w:rsidR="00B87D66" w:rsidRPr="00B87D66" w:rsidRDefault="00B87D66" w:rsidP="00B87D66">
      <w:pPr>
        <w:spacing w:before="120" w:after="0" w:line="360" w:lineRule="exact"/>
        <w:ind w:firstLine="720"/>
        <w:jc w:val="both"/>
        <w:rPr>
          <w:bCs/>
        </w:rPr>
      </w:pPr>
      <w:r w:rsidRPr="00B87D66">
        <w:rPr>
          <w:bCs/>
        </w:rPr>
        <w:t>Giá trị gỗ cây đứng = Khối lượng gỗ cây đứng x Giá gỗ thị trường tương ứng tại thời điểm bồi thường.</w:t>
      </w:r>
    </w:p>
    <w:p w14:paraId="5155B320" w14:textId="77777777" w:rsidR="00B87D66" w:rsidRPr="00B87D66" w:rsidRDefault="00B87D66" w:rsidP="00B87D66">
      <w:pPr>
        <w:spacing w:before="120" w:after="0" w:line="360" w:lineRule="exact"/>
        <w:ind w:firstLine="720"/>
        <w:jc w:val="both"/>
        <w:rPr>
          <w:bCs/>
        </w:rPr>
      </w:pPr>
      <w:r w:rsidRPr="00B87D66">
        <w:rPr>
          <w:bCs/>
        </w:rPr>
        <w:t xml:space="preserve">Khối lượng gỗ cây đứng (m3) = Chu vi (m) x Chu vi (m) x Chiều cao vút ngọn (m) x 0,0398. </w:t>
      </w:r>
    </w:p>
    <w:p w14:paraId="5FC5B6A7" w14:textId="77777777" w:rsidR="00B87D66" w:rsidRPr="00B87D66" w:rsidRDefault="00B87D66" w:rsidP="00B87D66">
      <w:pPr>
        <w:spacing w:before="120" w:after="0" w:line="360" w:lineRule="exact"/>
        <w:ind w:firstLine="720"/>
        <w:jc w:val="both"/>
        <w:rPr>
          <w:bCs/>
        </w:rPr>
      </w:pPr>
      <w:r w:rsidRPr="00B87D66">
        <w:rPr>
          <w:bCs/>
        </w:rPr>
        <w:t>Trong đó:</w:t>
      </w:r>
    </w:p>
    <w:p w14:paraId="3EFD1150" w14:textId="77777777" w:rsidR="00B87D66" w:rsidRPr="00B87D66" w:rsidRDefault="00B87D66" w:rsidP="00B87D66">
      <w:pPr>
        <w:spacing w:before="120" w:after="0" w:line="360" w:lineRule="exact"/>
        <w:ind w:firstLine="720"/>
        <w:jc w:val="both"/>
        <w:rPr>
          <w:bCs/>
        </w:rPr>
      </w:pPr>
      <w:r w:rsidRPr="00B87D66">
        <w:rPr>
          <w:bCs/>
        </w:rPr>
        <w:t>Chu vi: Được đo tại vị trí 1,3m của cây.</w:t>
      </w:r>
    </w:p>
    <w:p w14:paraId="0D8E1271" w14:textId="77777777" w:rsidR="00B87D66" w:rsidRPr="00B87D66" w:rsidRDefault="00B87D66" w:rsidP="00B87D66">
      <w:pPr>
        <w:spacing w:before="120" w:after="0" w:line="360" w:lineRule="exact"/>
        <w:ind w:firstLine="720"/>
        <w:jc w:val="both"/>
        <w:rPr>
          <w:bCs/>
        </w:rPr>
      </w:pPr>
      <w:r w:rsidRPr="00B87D66">
        <w:rPr>
          <w:bCs/>
        </w:rPr>
        <w:t>Chiều cao vút ngọn: Là chiều dài toàn cây đo từ gốc đến ngọn.</w:t>
      </w:r>
    </w:p>
    <w:p w14:paraId="1E662D81" w14:textId="77777777" w:rsidR="00B87D66" w:rsidRPr="00B87D66" w:rsidRDefault="00B87D66" w:rsidP="00B87D66">
      <w:pPr>
        <w:spacing w:before="120" w:after="0" w:line="360" w:lineRule="exact"/>
        <w:ind w:firstLine="720"/>
        <w:jc w:val="both"/>
        <w:rPr>
          <w:b/>
        </w:rPr>
      </w:pPr>
      <w:r w:rsidRPr="00B87D66">
        <w:rPr>
          <w:b/>
        </w:rPr>
        <w:t>2. Đối với cây rừng tự nhiên</w:t>
      </w:r>
    </w:p>
    <w:p w14:paraId="50EC6708" w14:textId="77777777" w:rsidR="00B87D66" w:rsidRPr="00B87D66" w:rsidRDefault="00B87D66" w:rsidP="00B87D66">
      <w:pPr>
        <w:spacing w:before="120" w:after="0" w:line="360" w:lineRule="exact"/>
        <w:ind w:firstLine="720"/>
        <w:jc w:val="both"/>
        <w:rPr>
          <w:bCs/>
        </w:rPr>
      </w:pPr>
      <w:r w:rsidRPr="00B87D66">
        <w:rPr>
          <w:b/>
          <w:i/>
          <w:iCs/>
        </w:rPr>
        <w:t xml:space="preserve">a) Cơ sở pháp lý: </w:t>
      </w:r>
      <w:r w:rsidRPr="00B87D66">
        <w:rPr>
          <w:bCs/>
        </w:rPr>
        <w:t xml:space="preserve">Bồi thường theo giá trị thiệt hại thực tế của diện tích rừng tự nhiên. Giá trị thiệt hại được xác định theo quy định tại Điều 90, Điều 91 Luật Lâm nghiệp năm 2017; </w:t>
      </w:r>
    </w:p>
    <w:p w14:paraId="18398E74" w14:textId="77777777" w:rsidR="00B87D66" w:rsidRPr="00B87D66" w:rsidRDefault="00B87D66" w:rsidP="00B87D66">
      <w:pPr>
        <w:spacing w:before="120" w:after="0" w:line="360" w:lineRule="exact"/>
        <w:ind w:firstLine="720"/>
        <w:jc w:val="both"/>
        <w:rPr>
          <w:bCs/>
        </w:rPr>
      </w:pPr>
      <w:r w:rsidRPr="00B87D66">
        <w:rPr>
          <w:b/>
          <w:i/>
          <w:iCs/>
        </w:rPr>
        <w:t>b) Phương pháp xác định giá:</w:t>
      </w:r>
      <w:r w:rsidRPr="00B87D66">
        <w:rPr>
          <w:bCs/>
        </w:rPr>
        <w:t xml:space="preserve"> Giá trị bồi thường được tính bằng giá rừng tự nhiên.</w:t>
      </w:r>
    </w:p>
    <w:p w14:paraId="731AA4DF" w14:textId="77777777" w:rsidR="00B87D66" w:rsidRPr="00B87D66" w:rsidRDefault="00B87D66" w:rsidP="00B87D66">
      <w:pPr>
        <w:spacing w:before="120" w:after="0" w:line="360" w:lineRule="exact"/>
        <w:ind w:firstLine="720"/>
        <w:jc w:val="both"/>
        <w:rPr>
          <w:bCs/>
        </w:rPr>
      </w:pPr>
      <w:r w:rsidRPr="00B87D66">
        <w:rPr>
          <w:bCs/>
        </w:rPr>
        <w:t>Phương pháp định giá rừng tự nhiên thực hiện theo quy định tại Chương II Thông tư số 20/2023/TT-BNNPTNT ngày 15/12/2023 của Bộ Nông nghiệp và PTNT quy định phương pháp định giá rừng; hướng dẫn định khung giá rừng và Quyết định số 32/2022/QĐ-UBND ngày 26/8/2022 của UBND tỉnh quy định khung giá các loại rừng trên địa bàn tỉnh Lai Châu hoặc các văn bản sửa đổi, bổ sung, thay thế (nếu có).</w:t>
      </w:r>
    </w:p>
    <w:p w14:paraId="6033E9B5" w14:textId="77777777" w:rsidR="00B87D66" w:rsidRPr="00B87D66" w:rsidRDefault="00B87D66" w:rsidP="00B87D66">
      <w:pPr>
        <w:spacing w:before="120" w:after="0" w:line="360" w:lineRule="exact"/>
        <w:ind w:firstLine="720"/>
        <w:jc w:val="both"/>
        <w:rPr>
          <w:b/>
        </w:rPr>
      </w:pPr>
      <w:r w:rsidRPr="00B87D66">
        <w:rPr>
          <w:b/>
        </w:rPr>
        <w:t>3. Đối với một số loài cây khác</w:t>
      </w:r>
    </w:p>
    <w:p w14:paraId="4299B7C5" w14:textId="77777777" w:rsidR="00B87D66" w:rsidRPr="00B87D66" w:rsidRDefault="00B87D66" w:rsidP="00B87D66">
      <w:pPr>
        <w:spacing w:before="120" w:after="0" w:line="360" w:lineRule="exact"/>
        <w:ind w:firstLine="720"/>
        <w:jc w:val="both"/>
        <w:rPr>
          <w:bCs/>
        </w:rPr>
      </w:pPr>
      <w:r w:rsidRPr="00B87D66">
        <w:rPr>
          <w:bCs/>
        </w:rPr>
        <w:lastRenderedPageBreak/>
        <w:t>Đối với một số loài cây thuộc nhóm khác như: Cây ăn quả (cây Sơn tra, cây Mắc ca), cây công nghiệp (cây Cao su), cây dược liệu (cây Quế) đơn giá bồi thường được xác định như sau:</w:t>
      </w:r>
    </w:p>
    <w:p w14:paraId="1E2BD371" w14:textId="77777777" w:rsidR="00B87D66" w:rsidRPr="00B87D66" w:rsidRDefault="00B87D66" w:rsidP="00B87D66">
      <w:pPr>
        <w:spacing w:before="120" w:after="0" w:line="360" w:lineRule="exact"/>
        <w:ind w:firstLine="720"/>
        <w:jc w:val="both"/>
        <w:rPr>
          <w:bCs/>
        </w:rPr>
      </w:pPr>
      <w:r w:rsidRPr="00B87D66">
        <w:rPr>
          <w:bCs/>
        </w:rPr>
        <w:t xml:space="preserve">a) Cây trong giai đoạn đầu tư, đơn giá bồi thường được xác định theo giá trị đầu tư; </w:t>
      </w:r>
    </w:p>
    <w:p w14:paraId="125B457C" w14:textId="77777777" w:rsidR="00B87D66" w:rsidRPr="00B87D66" w:rsidRDefault="00B87D66" w:rsidP="00B87D66">
      <w:pPr>
        <w:spacing w:before="120" w:after="0" w:line="360" w:lineRule="exact"/>
        <w:ind w:firstLine="720"/>
        <w:jc w:val="both"/>
        <w:rPr>
          <w:bCs/>
        </w:rPr>
      </w:pPr>
      <w:r w:rsidRPr="00B87D66">
        <w:rPr>
          <w:bCs/>
        </w:rPr>
        <w:t>b) Cây đang trong thời kỳ thu hoạch:</w:t>
      </w:r>
    </w:p>
    <w:p w14:paraId="528558B3" w14:textId="77777777" w:rsidR="00B87D66" w:rsidRPr="00B87D66" w:rsidRDefault="00B87D66" w:rsidP="00B87D66">
      <w:pPr>
        <w:spacing w:before="120" w:after="0" w:line="360" w:lineRule="exact"/>
        <w:ind w:firstLine="720"/>
        <w:jc w:val="both"/>
        <w:rPr>
          <w:bCs/>
        </w:rPr>
      </w:pPr>
      <w:r w:rsidRPr="00B87D66">
        <w:rPr>
          <w:bCs/>
        </w:rPr>
        <w:t>- Cây Sơn tra, cây Mắc ca: Áp dụng theo cách tính đơn giá bồi thường cây lâu năm cho thu hoạch nhiều lần đã nêu tại mục 4 Mục I Phụ lục này.</w:t>
      </w:r>
    </w:p>
    <w:p w14:paraId="60A89CC6" w14:textId="77777777" w:rsidR="00B87D66" w:rsidRPr="00B87D66" w:rsidRDefault="00B87D66" w:rsidP="00B87D66">
      <w:pPr>
        <w:spacing w:before="120" w:after="0" w:line="360" w:lineRule="exact"/>
        <w:ind w:firstLine="720"/>
        <w:jc w:val="both"/>
        <w:rPr>
          <w:bCs/>
          <w:spacing w:val="4"/>
        </w:rPr>
      </w:pPr>
      <w:r w:rsidRPr="00B87D66">
        <w:rPr>
          <w:bCs/>
          <w:spacing w:val="4"/>
        </w:rPr>
        <w:t>- Cây Cao su: Có chu kỳ kinh doanh 27 năm, trong đó 7 năm đầu là giai đoạn xây dựng cơ bản, 20 năm tiếp theo là giai đoạn khai thác mủ; áp dụng tính khấu hao tài sản cố định đối với cây trồng; mức khấu hao được tính theo phương pháp khấu hao đường thẳng theo từng năm, giá trị khấu hao từng năm bằng Giá trị cây của thời điểm có giá trị cao nhất chia cho số năm cần tính khấu hao (10 năm).</w:t>
      </w:r>
    </w:p>
    <w:p w14:paraId="2B765099" w14:textId="3F93384A" w:rsidR="00B87D66" w:rsidRPr="00B87D66" w:rsidRDefault="00B87D66" w:rsidP="00B87D66">
      <w:pPr>
        <w:spacing w:before="120" w:after="0" w:line="360" w:lineRule="exact"/>
        <w:ind w:firstLine="720"/>
        <w:jc w:val="both"/>
        <w:rPr>
          <w:b/>
        </w:rPr>
      </w:pPr>
      <w:r w:rsidRPr="00B87D66">
        <w:rPr>
          <w:bCs/>
        </w:rPr>
        <w:t>- Cây Quế: Tính theo giá trị thực tế thu được của cây Quế gồm: Vỏ cây, lõi gỗ, cành, lá để tính đơn giá; giá thu mua các bộ phận của cây Quế tham khảo giá thị trường tại các tỉnh lân cận (Yên Bái, Lào Cai) và trên mạng internet</w:t>
      </w:r>
    </w:p>
    <w:p w14:paraId="23D5FAAD" w14:textId="77777777" w:rsidR="00521801" w:rsidRDefault="000323C0" w:rsidP="008F6C0E">
      <w:pPr>
        <w:spacing w:before="120" w:after="0" w:line="360" w:lineRule="exact"/>
        <w:ind w:firstLine="720"/>
        <w:jc w:val="both"/>
        <w:rPr>
          <w:b/>
        </w:rPr>
      </w:pPr>
      <w:bookmarkStart w:id="0" w:name="_GoBack"/>
      <w:bookmarkEnd w:id="0"/>
      <w:r>
        <w:rPr>
          <w:b/>
        </w:rPr>
        <w:t>III. ĐƠN GIÁ BỒI THƯỜNG THIỆT HẠI ĐỐI VỚI VẬT NUÔI</w:t>
      </w:r>
    </w:p>
    <w:p w14:paraId="026D12EA" w14:textId="6CCDBEA6" w:rsidR="00521801" w:rsidRDefault="00521801" w:rsidP="008F6C0E">
      <w:pPr>
        <w:spacing w:before="120" w:after="0" w:line="360" w:lineRule="exact"/>
        <w:ind w:firstLine="720"/>
        <w:jc w:val="both"/>
        <w:rPr>
          <w:b/>
        </w:rPr>
      </w:pPr>
      <w:r w:rsidRPr="006409AD">
        <w:rPr>
          <w:b/>
        </w:rPr>
        <w:t xml:space="preserve">1. Căn cứ xác định </w:t>
      </w:r>
    </w:p>
    <w:p w14:paraId="5C41BB54" w14:textId="77777777" w:rsidR="006E6B6C" w:rsidRPr="006409AD" w:rsidRDefault="008F6C0E" w:rsidP="006E6B6C">
      <w:pPr>
        <w:spacing w:before="120"/>
        <w:ind w:firstLine="720"/>
        <w:jc w:val="both"/>
        <w:rPr>
          <w:rFonts w:eastAsia="Times New Roman"/>
          <w:lang w:eastAsia="vi-VN"/>
        </w:rPr>
      </w:pPr>
      <w:r w:rsidRPr="008F6C0E">
        <w:rPr>
          <w:b/>
        </w:rPr>
        <w:t xml:space="preserve"> </w:t>
      </w:r>
      <w:r w:rsidR="006E6B6C" w:rsidRPr="006409AD">
        <w:rPr>
          <w:rFonts w:eastAsia="Times New Roman"/>
          <w:lang w:eastAsia="vi-VN"/>
        </w:rPr>
        <w:t>Căn cứ Quyết định số 3276/QĐ-BNN-KHCN ngày 24/10/2008 của Bộ Nông nghiệp và PTNT về việc Ban hành định mức tạm thời áp dụng cho các chương trình Khuyến ngư.</w:t>
      </w:r>
    </w:p>
    <w:p w14:paraId="60BC6D24" w14:textId="77777777" w:rsidR="006E6B6C" w:rsidRPr="006409AD" w:rsidRDefault="006E6B6C" w:rsidP="006E6B6C">
      <w:pPr>
        <w:spacing w:before="120"/>
        <w:ind w:firstLine="720"/>
        <w:jc w:val="both"/>
        <w:rPr>
          <w:rFonts w:eastAsia="Times New Roman"/>
          <w:lang w:eastAsia="vi-VN"/>
        </w:rPr>
      </w:pPr>
      <w:r w:rsidRPr="006409AD">
        <w:rPr>
          <w:rFonts w:eastAsia="Times New Roman"/>
          <w:lang w:eastAsia="vi-VN"/>
        </w:rPr>
        <w:t>- Văn bản số 815/KN-CGTBKT ngày 30/8/2013 của Trung tâm Khuyến nông Quốc gia sửa đồi bổ sung định mức khuyến ngư.</w:t>
      </w:r>
    </w:p>
    <w:p w14:paraId="37B3F6F0" w14:textId="77777777" w:rsidR="006E6B6C" w:rsidRPr="006409AD" w:rsidRDefault="006E6B6C" w:rsidP="006E6B6C">
      <w:pPr>
        <w:spacing w:before="120"/>
        <w:ind w:firstLine="720"/>
        <w:jc w:val="both"/>
        <w:rPr>
          <w:rFonts w:eastAsia="Times New Roman"/>
          <w:lang w:eastAsia="vi-VN"/>
        </w:rPr>
      </w:pPr>
      <w:r w:rsidRPr="006409AD">
        <w:rPr>
          <w:rFonts w:eastAsia="Times New Roman"/>
          <w:lang w:eastAsia="vi-VN"/>
        </w:rPr>
        <w:t>- Quyết định số 726/QĐ-BNN-KN ngày 24/2/2022 của Bộ Nông nghiệp và PTNT về việc ban hành định mức kinh tế kỹ thuật khuyến nông trung ương.</w:t>
      </w:r>
    </w:p>
    <w:p w14:paraId="0E152E81" w14:textId="77777777" w:rsidR="006E6B6C" w:rsidRPr="006409AD" w:rsidRDefault="006E6B6C" w:rsidP="006E6B6C">
      <w:pPr>
        <w:spacing w:before="120"/>
        <w:ind w:firstLine="720"/>
        <w:jc w:val="both"/>
        <w:rPr>
          <w:rFonts w:eastAsia="Times New Roman"/>
          <w:lang w:eastAsia="vi-VN"/>
        </w:rPr>
      </w:pPr>
      <w:r w:rsidRPr="006409AD">
        <w:rPr>
          <w:rFonts w:eastAsia="Times New Roman"/>
          <w:lang w:eastAsia="vi-VN"/>
        </w:rPr>
        <w:t>- Căn cứ vào thực tế chi phí sản xuất tại thời điểm xây dựng dự thảo đơn giá về đối tượng là thủy sản và vật nuôi không di chuyển được..</w:t>
      </w:r>
    </w:p>
    <w:p w14:paraId="6C43195A" w14:textId="25F39723" w:rsidR="008F6C0E" w:rsidRPr="006409AD" w:rsidRDefault="006E6B6C" w:rsidP="006409AD">
      <w:pPr>
        <w:spacing w:before="120"/>
        <w:ind w:firstLine="720"/>
        <w:jc w:val="both"/>
        <w:rPr>
          <w:rFonts w:eastAsia="Times New Roman"/>
          <w:i/>
          <w:lang w:eastAsia="vi-VN"/>
        </w:rPr>
      </w:pPr>
      <w:r w:rsidRPr="006409AD">
        <w:rPr>
          <w:rFonts w:eastAsia="Times New Roman"/>
          <w:lang w:eastAsia="vi-VN"/>
        </w:rPr>
        <w:t xml:space="preserve">- Căn cứ diễn biến giá thị trường về đối tượng thủy sản nuôi và vật nuôi trên địa bàn tỉnh Lai Châu </w:t>
      </w:r>
      <w:r w:rsidRPr="006409AD">
        <w:rPr>
          <w:rFonts w:eastAsia="Times New Roman"/>
          <w:i/>
          <w:lang w:eastAsia="vi-VN"/>
        </w:rPr>
        <w:t>(từ tháng 6/2023 đến tháng 6/2024).</w:t>
      </w:r>
    </w:p>
    <w:p w14:paraId="71145CDA" w14:textId="77777777" w:rsidR="006409AD" w:rsidRPr="006409AD" w:rsidRDefault="006409AD" w:rsidP="006409AD">
      <w:pPr>
        <w:spacing w:before="120" w:after="0" w:line="340" w:lineRule="exact"/>
        <w:ind w:firstLine="709"/>
        <w:jc w:val="both"/>
        <w:rPr>
          <w:rFonts w:eastAsia="Times New Roman" w:cs="Times New Roman"/>
          <w:b/>
          <w:szCs w:val="28"/>
        </w:rPr>
      </w:pPr>
      <w:r w:rsidRPr="006409AD">
        <w:rPr>
          <w:rFonts w:eastAsia="Times New Roman" w:cs="Times New Roman"/>
          <w:b/>
          <w:szCs w:val="28"/>
        </w:rPr>
        <w:t>2. Đối với vật nuôi là thủy sản</w:t>
      </w:r>
    </w:p>
    <w:p w14:paraId="353B0A79" w14:textId="77777777" w:rsidR="006409AD" w:rsidRPr="006409AD" w:rsidRDefault="006409AD" w:rsidP="006409AD">
      <w:pPr>
        <w:shd w:val="clear" w:color="auto" w:fill="FFFFFF"/>
        <w:spacing w:before="120"/>
        <w:ind w:firstLine="720"/>
        <w:jc w:val="both"/>
        <w:rPr>
          <w:szCs w:val="28"/>
        </w:rPr>
      </w:pPr>
      <w:r w:rsidRPr="006409AD">
        <w:rPr>
          <w:szCs w:val="28"/>
        </w:rPr>
        <w:t xml:space="preserve">a. Đối tượng và trọng lượng các loài thủy sản được bồi thường, hỗ trợ  được quy định cụ thể tại Phụ lục số IV. Tổ chức làm nhiệm vụ bồi thường xác </w:t>
      </w:r>
      <w:r w:rsidRPr="006409AD">
        <w:rPr>
          <w:szCs w:val="28"/>
        </w:rPr>
        <w:lastRenderedPageBreak/>
        <w:t>định diện tích ao, hồ trong ranh giới đất thu hồi thực tế bị thiệt hại để lập phương án bồi thường. (Mức bồi thường 100% giá trị).</w:t>
      </w:r>
    </w:p>
    <w:p w14:paraId="350D9C26" w14:textId="77777777" w:rsidR="006409AD" w:rsidRPr="006409AD" w:rsidRDefault="006409AD" w:rsidP="006409AD">
      <w:pPr>
        <w:shd w:val="clear" w:color="auto" w:fill="FFFFFF"/>
        <w:spacing w:before="120"/>
        <w:ind w:firstLine="720"/>
        <w:jc w:val="both"/>
        <w:rPr>
          <w:szCs w:val="28"/>
        </w:rPr>
      </w:pPr>
      <w:r w:rsidRPr="006409AD">
        <w:rPr>
          <w:szCs w:val="28"/>
        </w:rPr>
        <w:t>- Mức bồi thường được tính như sau:</w:t>
      </w:r>
    </w:p>
    <w:p w14:paraId="662C2FA0" w14:textId="77777777" w:rsidR="006409AD" w:rsidRPr="006409AD" w:rsidRDefault="006409AD" w:rsidP="006409AD">
      <w:pPr>
        <w:shd w:val="clear" w:color="auto" w:fill="FFFFFF"/>
        <w:spacing w:before="120"/>
        <w:ind w:firstLine="720"/>
        <w:jc w:val="both"/>
        <w:rPr>
          <w:szCs w:val="28"/>
        </w:rPr>
      </w:pPr>
      <w:r w:rsidRPr="006409AD">
        <w:rPr>
          <w:szCs w:val="28"/>
        </w:rPr>
        <w:t xml:space="preserve">M = S x GBT. Trong đó: </w:t>
      </w:r>
    </w:p>
    <w:p w14:paraId="482BF473" w14:textId="77777777" w:rsidR="006409AD" w:rsidRPr="006409AD" w:rsidRDefault="006409AD" w:rsidP="006409AD">
      <w:pPr>
        <w:shd w:val="clear" w:color="auto" w:fill="FFFFFF"/>
        <w:spacing w:before="120"/>
        <w:ind w:firstLine="720"/>
        <w:jc w:val="both"/>
        <w:rPr>
          <w:szCs w:val="28"/>
        </w:rPr>
      </w:pPr>
      <w:r w:rsidRPr="006409AD">
        <w:rPr>
          <w:szCs w:val="28"/>
        </w:rPr>
        <w:t>M: Mức bồi thường.</w:t>
      </w:r>
    </w:p>
    <w:p w14:paraId="594DCC1F" w14:textId="77777777" w:rsidR="006409AD" w:rsidRPr="006409AD" w:rsidRDefault="006409AD" w:rsidP="006409AD">
      <w:pPr>
        <w:shd w:val="clear" w:color="auto" w:fill="FFFFFF"/>
        <w:spacing w:before="120"/>
        <w:ind w:firstLine="720"/>
        <w:jc w:val="both"/>
        <w:rPr>
          <w:szCs w:val="28"/>
        </w:rPr>
      </w:pPr>
      <w:r w:rsidRPr="006409AD">
        <w:rPr>
          <w:szCs w:val="28"/>
        </w:rPr>
        <w:t>S: Diện tích thực nuôi bị thu hồi, thiệt hại.</w:t>
      </w:r>
    </w:p>
    <w:p w14:paraId="189CB421" w14:textId="77777777" w:rsidR="006409AD" w:rsidRPr="006409AD" w:rsidRDefault="006409AD" w:rsidP="006409AD">
      <w:pPr>
        <w:shd w:val="clear" w:color="auto" w:fill="FFFFFF"/>
        <w:spacing w:before="120"/>
        <w:ind w:firstLine="720"/>
        <w:jc w:val="both"/>
        <w:rPr>
          <w:szCs w:val="28"/>
        </w:rPr>
      </w:pPr>
      <w:r w:rsidRPr="006409AD">
        <w:rPr>
          <w:szCs w:val="28"/>
        </w:rPr>
        <w:t>GBT: Giá bồi thường (được quy định tại Phụ lục số IV).</w:t>
      </w:r>
    </w:p>
    <w:p w14:paraId="4EB71AEC" w14:textId="77777777" w:rsidR="006409AD" w:rsidRPr="006409AD" w:rsidRDefault="006409AD" w:rsidP="006409AD">
      <w:pPr>
        <w:shd w:val="clear" w:color="auto" w:fill="FFFFFF"/>
        <w:spacing w:before="120"/>
        <w:ind w:firstLine="720"/>
        <w:jc w:val="both"/>
        <w:rPr>
          <w:szCs w:val="28"/>
        </w:rPr>
      </w:pPr>
      <w:r w:rsidRPr="006409AD">
        <w:rPr>
          <w:szCs w:val="28"/>
        </w:rPr>
        <w:t>b.  Đối với cơ sở sản xuất, ương dưỡng giống thủy sản tổ chức làm nhiệm vụ bồi thường xác định diện tích nuôi thực tế đối với vật nuôi là thủy sản của các chủ sở hữu, hồ sơ chứng minh đủ điều kiện sản xuất của cơ sở, trên cơ sở phù hợp với định mức kinh tế kỹ thuật và thực tế thiệt hại để xác định khối lượng, lập và phê duyệt phương án bồi thường theo quy đinh (Mức bồi thường 100% giá trị).</w:t>
      </w:r>
    </w:p>
    <w:p w14:paraId="6190ADC5" w14:textId="77777777" w:rsidR="006409AD" w:rsidRPr="006409AD" w:rsidRDefault="006409AD" w:rsidP="006409AD">
      <w:pPr>
        <w:shd w:val="clear" w:color="auto" w:fill="FFFFFF"/>
        <w:spacing w:before="120"/>
        <w:ind w:firstLine="720"/>
        <w:jc w:val="both"/>
        <w:rPr>
          <w:szCs w:val="28"/>
        </w:rPr>
      </w:pPr>
      <w:r w:rsidRPr="006409AD">
        <w:rPr>
          <w:szCs w:val="28"/>
        </w:rPr>
        <w:t>- Mức bồi thường đối với giống thủy sản được tính như sau:</w:t>
      </w:r>
    </w:p>
    <w:p w14:paraId="066736D6" w14:textId="77777777" w:rsidR="006409AD" w:rsidRPr="006409AD" w:rsidRDefault="006409AD" w:rsidP="006409AD">
      <w:pPr>
        <w:shd w:val="clear" w:color="auto" w:fill="FFFFFF"/>
        <w:spacing w:before="120"/>
        <w:ind w:firstLine="720"/>
        <w:jc w:val="both"/>
        <w:rPr>
          <w:szCs w:val="28"/>
        </w:rPr>
      </w:pPr>
      <w:r w:rsidRPr="006409AD">
        <w:rPr>
          <w:szCs w:val="28"/>
        </w:rPr>
        <w:t xml:space="preserve">M = S x GBT. Trong đó: </w:t>
      </w:r>
    </w:p>
    <w:p w14:paraId="40AF622B" w14:textId="77777777" w:rsidR="006409AD" w:rsidRPr="006409AD" w:rsidRDefault="006409AD" w:rsidP="006409AD">
      <w:pPr>
        <w:shd w:val="clear" w:color="auto" w:fill="FFFFFF"/>
        <w:spacing w:before="120"/>
        <w:ind w:firstLine="720"/>
        <w:jc w:val="both"/>
        <w:rPr>
          <w:szCs w:val="28"/>
        </w:rPr>
      </w:pPr>
      <w:r w:rsidRPr="006409AD">
        <w:rPr>
          <w:szCs w:val="28"/>
        </w:rPr>
        <w:t>- M: Mức bồi thường.</w:t>
      </w:r>
    </w:p>
    <w:p w14:paraId="2355EED4" w14:textId="77777777" w:rsidR="006409AD" w:rsidRPr="006409AD" w:rsidRDefault="006409AD" w:rsidP="006409AD">
      <w:pPr>
        <w:shd w:val="clear" w:color="auto" w:fill="FFFFFF"/>
        <w:spacing w:before="120"/>
        <w:ind w:left="720"/>
        <w:jc w:val="both"/>
        <w:rPr>
          <w:szCs w:val="28"/>
        </w:rPr>
      </w:pPr>
      <w:r w:rsidRPr="006409AD">
        <w:rPr>
          <w:szCs w:val="28"/>
        </w:rPr>
        <w:t>- S: Diện tích thực nuôi bị thu hồi, thiệt hại.</w:t>
      </w:r>
    </w:p>
    <w:p w14:paraId="32B80160" w14:textId="77777777" w:rsidR="006409AD" w:rsidRPr="006409AD" w:rsidRDefault="006409AD" w:rsidP="006409AD">
      <w:pPr>
        <w:shd w:val="clear" w:color="auto" w:fill="FFFFFF"/>
        <w:spacing w:before="120"/>
        <w:ind w:firstLine="720"/>
        <w:jc w:val="both"/>
        <w:rPr>
          <w:szCs w:val="28"/>
        </w:rPr>
      </w:pPr>
      <w:r w:rsidRPr="006409AD">
        <w:rPr>
          <w:szCs w:val="28"/>
        </w:rPr>
        <w:t>- GBT: Giá bồi thường thiệt hại (được quy định tại Phụ lục số IV)</w:t>
      </w:r>
    </w:p>
    <w:p w14:paraId="581988DB" w14:textId="75A77EDE" w:rsidR="006409AD" w:rsidRPr="006409AD" w:rsidRDefault="00A7413F" w:rsidP="006409AD">
      <w:pPr>
        <w:spacing w:before="120" w:after="0" w:line="340" w:lineRule="exact"/>
        <w:ind w:firstLine="709"/>
        <w:jc w:val="both"/>
        <w:rPr>
          <w:rFonts w:eastAsia="Times New Roman" w:cs="Times New Roman"/>
          <w:b/>
          <w:szCs w:val="28"/>
        </w:rPr>
      </w:pPr>
      <w:r>
        <w:rPr>
          <w:rFonts w:eastAsia="Times New Roman" w:cs="Times New Roman"/>
          <w:b/>
          <w:szCs w:val="28"/>
        </w:rPr>
        <w:t>3</w:t>
      </w:r>
      <w:r w:rsidR="006409AD" w:rsidRPr="006409AD">
        <w:rPr>
          <w:rFonts w:eastAsia="Times New Roman" w:cs="Times New Roman"/>
          <w:b/>
          <w:szCs w:val="28"/>
        </w:rPr>
        <w:t xml:space="preserve">. Đối với vật nuôi </w:t>
      </w:r>
    </w:p>
    <w:p w14:paraId="66A41040" w14:textId="77777777" w:rsidR="006409AD" w:rsidRPr="006409AD" w:rsidRDefault="006409AD" w:rsidP="006409AD">
      <w:pPr>
        <w:spacing w:before="120" w:line="360" w:lineRule="atLeast"/>
        <w:ind w:firstLine="709"/>
        <w:jc w:val="both"/>
        <w:rPr>
          <w:szCs w:val="28"/>
        </w:rPr>
      </w:pPr>
      <w:r w:rsidRPr="006409AD">
        <w:rPr>
          <w:szCs w:val="28"/>
        </w:rPr>
        <w:t>a. Vật nuôi khác là vật nuôi không phải là thủy sản.</w:t>
      </w:r>
    </w:p>
    <w:p w14:paraId="3F104729" w14:textId="77777777" w:rsidR="006409AD" w:rsidRPr="006409AD" w:rsidRDefault="006409AD" w:rsidP="006409AD">
      <w:pPr>
        <w:spacing w:before="120" w:line="360" w:lineRule="atLeast"/>
        <w:ind w:firstLine="709"/>
        <w:jc w:val="both"/>
        <w:rPr>
          <w:szCs w:val="28"/>
        </w:rPr>
      </w:pPr>
      <w:r w:rsidRPr="006409AD">
        <w:rPr>
          <w:szCs w:val="28"/>
        </w:rPr>
        <w:t xml:space="preserve">b. Vật nuôi khác không thể di chuyển, là: </w:t>
      </w:r>
    </w:p>
    <w:p w14:paraId="6E86B68D" w14:textId="77777777" w:rsidR="006409AD" w:rsidRPr="006409AD" w:rsidRDefault="006409AD" w:rsidP="006409AD">
      <w:pPr>
        <w:spacing w:before="120" w:line="360" w:lineRule="atLeast"/>
        <w:ind w:firstLine="709"/>
        <w:jc w:val="both"/>
        <w:rPr>
          <w:szCs w:val="28"/>
        </w:rPr>
      </w:pPr>
      <w:r w:rsidRPr="006409AD">
        <w:rPr>
          <w:szCs w:val="28"/>
        </w:rPr>
        <w:t>- Vật nuôi mà tại thời điểm thu hồi đất chưa đến thời kỳ thu hoạch, xuất bán; Chủ sở hữu vật nuôi chuyển sang địa điểm mới nhưng không có hoặc không bố trí được cơ sở vật chất, chuồng trại để tiếp tục nuôi, nhốt vật nuôi nhằm tiếp tục chăn nuôi tới khi xuất bán.</w:t>
      </w:r>
    </w:p>
    <w:p w14:paraId="41162414" w14:textId="77777777" w:rsidR="006409AD" w:rsidRPr="006409AD" w:rsidRDefault="006409AD" w:rsidP="006409AD">
      <w:pPr>
        <w:spacing w:before="120" w:line="360" w:lineRule="atLeast"/>
        <w:ind w:firstLine="709"/>
        <w:jc w:val="both"/>
        <w:rPr>
          <w:i/>
          <w:szCs w:val="28"/>
        </w:rPr>
      </w:pPr>
      <w:r w:rsidRPr="006409AD">
        <w:rPr>
          <w:szCs w:val="28"/>
        </w:rPr>
        <w:t xml:space="preserve">- Tại thời điểm Nhà nước thu hồi đất nhưng khu vực thu hồi đang trong thời gian xảy ra dịch bệnh trên vật nuôi, nếu di chuyển thì sẽ làm lây lan dịch bệnh  </w:t>
      </w:r>
      <w:r w:rsidRPr="006409AD">
        <w:rPr>
          <w:i/>
          <w:szCs w:val="28"/>
        </w:rPr>
        <w:t>(Dịch bệnh thuộc: Danh mục bệnh động vật phải công bố dịch, Danh mục bệnh truyền lây giữa động vật và người, Danh mục bệnh động vật cấm giết mổ, chữa bệnh theo quy định của pháp luật).</w:t>
      </w:r>
    </w:p>
    <w:p w14:paraId="0972D9A0" w14:textId="77777777" w:rsidR="006409AD" w:rsidRPr="006409AD" w:rsidRDefault="006409AD" w:rsidP="006409AD">
      <w:pPr>
        <w:shd w:val="clear" w:color="auto" w:fill="FFFFFF"/>
        <w:spacing w:before="120"/>
        <w:ind w:firstLine="720"/>
        <w:jc w:val="both"/>
        <w:rPr>
          <w:szCs w:val="28"/>
        </w:rPr>
      </w:pPr>
      <w:r w:rsidRPr="006409AD">
        <w:rPr>
          <w:szCs w:val="28"/>
        </w:rPr>
        <w:lastRenderedPageBreak/>
        <w:t>- Mức bồi thường được tính như sau:</w:t>
      </w:r>
    </w:p>
    <w:p w14:paraId="1613981C" w14:textId="77777777" w:rsidR="006409AD" w:rsidRPr="006409AD" w:rsidRDefault="006409AD" w:rsidP="006409AD">
      <w:pPr>
        <w:spacing w:before="120" w:line="360" w:lineRule="atLeast"/>
        <w:ind w:firstLine="709"/>
        <w:jc w:val="both"/>
        <w:rPr>
          <w:bCs/>
          <w:szCs w:val="28"/>
          <w:shd w:val="clear" w:color="auto" w:fill="FFFFFF"/>
        </w:rPr>
      </w:pPr>
      <w:r w:rsidRPr="006409AD">
        <w:rPr>
          <w:bCs/>
          <w:szCs w:val="28"/>
          <w:shd w:val="clear" w:color="auto" w:fill="FFFFFF"/>
        </w:rPr>
        <w:t xml:space="preserve">+ M = GBT x P.. Trong đó: </w:t>
      </w:r>
    </w:p>
    <w:p w14:paraId="08BF1A81" w14:textId="77777777" w:rsidR="006409AD" w:rsidRPr="006409AD" w:rsidRDefault="006409AD" w:rsidP="006409AD">
      <w:pPr>
        <w:spacing w:before="120" w:line="360" w:lineRule="atLeast"/>
        <w:ind w:left="720" w:firstLine="720"/>
        <w:jc w:val="both"/>
        <w:rPr>
          <w:bCs/>
          <w:szCs w:val="28"/>
          <w:shd w:val="clear" w:color="auto" w:fill="FFFFFF"/>
        </w:rPr>
      </w:pPr>
      <w:r w:rsidRPr="006409AD">
        <w:rPr>
          <w:bCs/>
          <w:szCs w:val="28"/>
          <w:shd w:val="clear" w:color="auto" w:fill="FFFFFF"/>
        </w:rPr>
        <w:t xml:space="preserve">      - M: Mức bồi thường.</w:t>
      </w:r>
    </w:p>
    <w:p w14:paraId="26688069" w14:textId="77777777" w:rsidR="006409AD" w:rsidRPr="006409AD" w:rsidRDefault="006409AD" w:rsidP="006409AD">
      <w:pPr>
        <w:spacing w:before="120" w:line="360" w:lineRule="atLeast"/>
        <w:ind w:firstLine="709"/>
        <w:jc w:val="both"/>
        <w:rPr>
          <w:bCs/>
          <w:szCs w:val="28"/>
          <w:shd w:val="clear" w:color="auto" w:fill="FFFFFF"/>
        </w:rPr>
      </w:pPr>
      <w:r w:rsidRPr="006409AD">
        <w:rPr>
          <w:bCs/>
          <w:szCs w:val="28"/>
          <w:shd w:val="clear" w:color="auto" w:fill="FFFFFF"/>
        </w:rPr>
        <w:t xml:space="preserve"> </w:t>
      </w:r>
      <w:r w:rsidRPr="006409AD">
        <w:rPr>
          <w:bCs/>
          <w:szCs w:val="28"/>
          <w:shd w:val="clear" w:color="auto" w:fill="FFFFFF"/>
        </w:rPr>
        <w:tab/>
        <w:t xml:space="preserve">      - GBT: Giá bồi thường thiệt hại.</w:t>
      </w:r>
    </w:p>
    <w:p w14:paraId="121302CE" w14:textId="77777777" w:rsidR="006409AD" w:rsidRPr="006409AD" w:rsidRDefault="006409AD" w:rsidP="006409AD">
      <w:pPr>
        <w:spacing w:before="120" w:line="360" w:lineRule="atLeast"/>
        <w:ind w:firstLine="709"/>
        <w:jc w:val="both"/>
        <w:rPr>
          <w:bCs/>
          <w:szCs w:val="28"/>
          <w:shd w:val="clear" w:color="auto" w:fill="FFFFFF"/>
        </w:rPr>
      </w:pPr>
      <w:r w:rsidRPr="006409AD">
        <w:rPr>
          <w:bCs/>
          <w:szCs w:val="28"/>
          <w:shd w:val="clear" w:color="auto" w:fill="FFFFFF"/>
        </w:rPr>
        <w:t xml:space="preserve">      </w:t>
      </w:r>
      <w:r w:rsidRPr="006409AD">
        <w:rPr>
          <w:bCs/>
          <w:szCs w:val="28"/>
          <w:shd w:val="clear" w:color="auto" w:fill="FFFFFF"/>
        </w:rPr>
        <w:tab/>
        <w:t xml:space="preserve">      - P: là khối lượng thịt hơi vật nuôi.</w:t>
      </w:r>
    </w:p>
    <w:p w14:paraId="7E5F5753" w14:textId="6018677F" w:rsidR="006409AD" w:rsidRPr="00BA0C50" w:rsidRDefault="00A7413F" w:rsidP="006409AD">
      <w:pPr>
        <w:spacing w:before="120" w:after="0" w:line="360" w:lineRule="atLeast"/>
        <w:ind w:firstLine="709"/>
        <w:jc w:val="both"/>
        <w:rPr>
          <w:rFonts w:eastAsia="Times New Roman" w:cs="Times New Roman"/>
          <w:szCs w:val="28"/>
          <w:u w:val="single"/>
        </w:rPr>
      </w:pPr>
      <w:r>
        <w:rPr>
          <w:rFonts w:eastAsia="Times New Roman" w:cs="Times New Roman"/>
          <w:b/>
          <w:bCs/>
          <w:szCs w:val="28"/>
        </w:rPr>
        <w:t>4</w:t>
      </w:r>
      <w:r w:rsidR="006409AD" w:rsidRPr="00BA0C50">
        <w:rPr>
          <w:rFonts w:eastAsia="Times New Roman" w:cs="Times New Roman"/>
          <w:b/>
          <w:bCs/>
          <w:szCs w:val="28"/>
        </w:rPr>
        <w:t>. Mức bồi thường di dời vật nuôi</w:t>
      </w:r>
      <w:r w:rsidR="006409AD" w:rsidRPr="00BA0C50">
        <w:rPr>
          <w:rFonts w:eastAsia="Times New Roman" w:cs="Times New Roman"/>
          <w:szCs w:val="28"/>
        </w:rPr>
        <w:t xml:space="preserve"> </w:t>
      </w:r>
    </w:p>
    <w:p w14:paraId="2AA5F7BA" w14:textId="77777777" w:rsidR="006409AD" w:rsidRPr="00BA0C50" w:rsidRDefault="006409AD" w:rsidP="006409AD">
      <w:pPr>
        <w:spacing w:before="120" w:after="0" w:line="360" w:lineRule="atLeast"/>
        <w:ind w:firstLine="709"/>
        <w:jc w:val="both"/>
        <w:rPr>
          <w:rFonts w:eastAsia="Times New Roman" w:cs="Times New Roman"/>
          <w:szCs w:val="28"/>
        </w:rPr>
      </w:pPr>
      <w:r w:rsidRPr="00BA0C50">
        <w:rPr>
          <w:rFonts w:eastAsia="Times New Roman" w:cs="Times New Roman"/>
          <w:szCs w:val="28"/>
        </w:rPr>
        <w:t xml:space="preserve">a) Tổ chức làm nhiệm vụ bồi thường xác định trọng lượng vật nuôi thực tế thuộc đối tượng được hỗ trợ di dời bằng phương pháp cân từng cá thể để tính trọng lượng. </w:t>
      </w:r>
    </w:p>
    <w:p w14:paraId="3C1D55B0" w14:textId="77777777" w:rsidR="006409AD" w:rsidRPr="00BA0C50" w:rsidRDefault="006409AD" w:rsidP="006409AD">
      <w:pPr>
        <w:spacing w:before="120" w:after="0" w:line="360" w:lineRule="atLeast"/>
        <w:ind w:firstLine="709"/>
        <w:jc w:val="both"/>
        <w:rPr>
          <w:rFonts w:eastAsia="Times New Roman" w:cs="Times New Roman"/>
          <w:szCs w:val="28"/>
        </w:rPr>
      </w:pPr>
      <w:r w:rsidRPr="00BA0C50">
        <w:rPr>
          <w:rFonts w:eastAsia="Times New Roman" w:cs="Times New Roman"/>
          <w:szCs w:val="28"/>
        </w:rPr>
        <w:t>b) Bồi thường di dời vật nuôi bao gồm bồi thường chi phí di chuyển và thiệt hại vật nuôi do phải di chuyển.</w:t>
      </w:r>
    </w:p>
    <w:p w14:paraId="4C6D26D7" w14:textId="77777777" w:rsidR="006409AD" w:rsidRPr="00BA0C50" w:rsidRDefault="006409AD" w:rsidP="006409AD">
      <w:pPr>
        <w:spacing w:before="120" w:after="0" w:line="360" w:lineRule="atLeast"/>
        <w:ind w:firstLine="709"/>
        <w:jc w:val="both"/>
        <w:rPr>
          <w:rFonts w:eastAsia="Times New Roman" w:cs="Times New Roman"/>
          <w:szCs w:val="28"/>
        </w:rPr>
      </w:pPr>
      <w:r w:rsidRPr="00BA0C50">
        <w:rPr>
          <w:rFonts w:eastAsia="Times New Roman" w:cs="Times New Roman"/>
          <w:szCs w:val="28"/>
        </w:rPr>
        <w:t>- Bồi thường 100% chi phí cước vận chuyển vật nuôi. Chi phí để di chuyển vật nuôi bao gồm: cước vận chuyển, công bốc xếp, vật tư dụng cụ phục vụ di chuyển.</w:t>
      </w:r>
    </w:p>
    <w:p w14:paraId="1277E125" w14:textId="77777777" w:rsidR="006409AD" w:rsidRPr="00BA0C50" w:rsidRDefault="006409AD" w:rsidP="006409AD">
      <w:pPr>
        <w:spacing w:before="120" w:after="0" w:line="360" w:lineRule="atLeast"/>
        <w:ind w:firstLine="709"/>
        <w:jc w:val="both"/>
        <w:rPr>
          <w:rFonts w:eastAsia="Times New Roman" w:cs="Times New Roman"/>
          <w:szCs w:val="28"/>
        </w:rPr>
      </w:pPr>
      <w:r w:rsidRPr="00BA0C50">
        <w:rPr>
          <w:rFonts w:eastAsia="Times New Roman" w:cs="Times New Roman"/>
          <w:szCs w:val="28"/>
        </w:rPr>
        <w:t>- Bồi thiệt hại vật nuôi do di chuyển như (vật nuôi bị chết, bị thương, hao hụt sức khỏe, trọng lượng..), mức độ thiệt hại được tính theo tỷ lệ % Giá trị vật nuôi (GTVN) và chi phí khác, như sau:</w:t>
      </w:r>
    </w:p>
    <w:p w14:paraId="1C051685" w14:textId="77777777" w:rsidR="006409AD" w:rsidRPr="00BA0C50" w:rsidRDefault="006409AD" w:rsidP="006409AD">
      <w:pPr>
        <w:spacing w:before="120" w:after="0" w:line="360" w:lineRule="atLeast"/>
        <w:ind w:firstLine="709"/>
        <w:jc w:val="both"/>
        <w:rPr>
          <w:rFonts w:eastAsia="Times New Roman" w:cs="Times New Roman"/>
          <w:szCs w:val="28"/>
        </w:rPr>
      </w:pPr>
    </w:p>
    <w:tbl>
      <w:tblPr>
        <w:tblW w:w="9142" w:type="dxa"/>
        <w:tblInd w:w="113" w:type="dxa"/>
        <w:tblLook w:val="04A0" w:firstRow="1" w:lastRow="0" w:firstColumn="1" w:lastColumn="0" w:noHBand="0" w:noVBand="1"/>
      </w:tblPr>
      <w:tblGrid>
        <w:gridCol w:w="576"/>
        <w:gridCol w:w="3247"/>
        <w:gridCol w:w="2126"/>
        <w:gridCol w:w="3193"/>
      </w:tblGrid>
      <w:tr w:rsidR="006409AD" w:rsidRPr="00BA0C50" w14:paraId="41856939" w14:textId="77777777" w:rsidTr="00BA18B8">
        <w:trPr>
          <w:trHeight w:val="571"/>
          <w:tblHead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DAA23" w14:textId="77777777" w:rsidR="006409AD" w:rsidRPr="00BA0C50" w:rsidRDefault="006409AD" w:rsidP="00BA18B8">
            <w:pPr>
              <w:spacing w:before="120" w:after="0" w:line="360" w:lineRule="atLeast"/>
              <w:jc w:val="center"/>
              <w:rPr>
                <w:rFonts w:eastAsia="Calibri" w:cs="Times New Roman"/>
                <w:b/>
                <w:bCs/>
                <w:sz w:val="26"/>
                <w:szCs w:val="26"/>
              </w:rPr>
            </w:pPr>
            <w:r w:rsidRPr="00BA0C50">
              <w:rPr>
                <w:rFonts w:eastAsia="Calibri" w:cs="Times New Roman"/>
                <w:b/>
                <w:bCs/>
                <w:sz w:val="26"/>
                <w:szCs w:val="26"/>
              </w:rPr>
              <w:t>TT</w:t>
            </w:r>
          </w:p>
        </w:tc>
        <w:tc>
          <w:tcPr>
            <w:tcW w:w="3247" w:type="dxa"/>
            <w:tcBorders>
              <w:top w:val="single" w:sz="4" w:space="0" w:color="auto"/>
              <w:left w:val="nil"/>
              <w:bottom w:val="single" w:sz="4" w:space="0" w:color="auto"/>
              <w:right w:val="single" w:sz="4" w:space="0" w:color="auto"/>
            </w:tcBorders>
            <w:shd w:val="clear" w:color="auto" w:fill="auto"/>
            <w:vAlign w:val="center"/>
            <w:hideMark/>
          </w:tcPr>
          <w:p w14:paraId="7AB4AE91" w14:textId="77777777" w:rsidR="006409AD" w:rsidRPr="00BA0C50" w:rsidRDefault="006409AD" w:rsidP="00BA18B8">
            <w:pPr>
              <w:spacing w:before="120" w:after="0" w:line="360" w:lineRule="atLeast"/>
              <w:jc w:val="center"/>
              <w:rPr>
                <w:rFonts w:eastAsia="Calibri" w:cs="Times New Roman"/>
                <w:b/>
                <w:bCs/>
                <w:sz w:val="26"/>
                <w:szCs w:val="26"/>
              </w:rPr>
            </w:pPr>
            <w:r w:rsidRPr="00BA0C50">
              <w:rPr>
                <w:rFonts w:eastAsia="Calibri" w:cs="Times New Roman"/>
                <w:b/>
                <w:bCs/>
                <w:sz w:val="26"/>
                <w:szCs w:val="26"/>
              </w:rPr>
              <w:t xml:space="preserve">Loại vật nuôi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099F72D" w14:textId="77777777" w:rsidR="006409AD" w:rsidRPr="00BA0C50" w:rsidRDefault="006409AD" w:rsidP="00BA18B8">
            <w:pPr>
              <w:spacing w:before="120" w:after="0" w:line="360" w:lineRule="atLeast"/>
              <w:jc w:val="center"/>
              <w:rPr>
                <w:rFonts w:eastAsia="Calibri" w:cs="Times New Roman"/>
                <w:b/>
                <w:bCs/>
                <w:sz w:val="26"/>
                <w:szCs w:val="26"/>
              </w:rPr>
            </w:pPr>
            <w:r w:rsidRPr="00BA0C50">
              <w:rPr>
                <w:rFonts w:eastAsia="Calibri" w:cs="Times New Roman"/>
                <w:b/>
                <w:bCs/>
                <w:sz w:val="26"/>
                <w:szCs w:val="26"/>
              </w:rPr>
              <w:t>Mức thiệt hại do di chuyển</w:t>
            </w:r>
          </w:p>
        </w:tc>
        <w:tc>
          <w:tcPr>
            <w:tcW w:w="3193" w:type="dxa"/>
            <w:tcBorders>
              <w:top w:val="single" w:sz="4" w:space="0" w:color="auto"/>
              <w:left w:val="nil"/>
              <w:bottom w:val="single" w:sz="4" w:space="0" w:color="auto"/>
              <w:right w:val="single" w:sz="4" w:space="0" w:color="auto"/>
            </w:tcBorders>
            <w:shd w:val="clear" w:color="auto" w:fill="auto"/>
            <w:vAlign w:val="center"/>
            <w:hideMark/>
          </w:tcPr>
          <w:p w14:paraId="2DAC2EA0" w14:textId="77777777" w:rsidR="006409AD" w:rsidRPr="00BA0C50" w:rsidRDefault="006409AD" w:rsidP="00BA18B8">
            <w:pPr>
              <w:spacing w:before="120" w:after="0" w:line="360" w:lineRule="atLeast"/>
              <w:jc w:val="center"/>
              <w:rPr>
                <w:rFonts w:eastAsia="Calibri" w:cs="Times New Roman"/>
                <w:b/>
                <w:bCs/>
                <w:sz w:val="26"/>
                <w:szCs w:val="26"/>
              </w:rPr>
            </w:pPr>
            <w:r w:rsidRPr="00BA0C50">
              <w:rPr>
                <w:rFonts w:eastAsia="Calibri" w:cs="Times New Roman"/>
                <w:b/>
                <w:bCs/>
                <w:sz w:val="26"/>
                <w:szCs w:val="26"/>
              </w:rPr>
              <w:t>Ghi chú</w:t>
            </w:r>
          </w:p>
        </w:tc>
      </w:tr>
      <w:tr w:rsidR="006409AD" w:rsidRPr="00BA0C50" w14:paraId="38B727CD" w14:textId="77777777" w:rsidTr="00BA18B8">
        <w:trPr>
          <w:trHeight w:val="571"/>
          <w:tblHead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14:paraId="36227E6C" w14:textId="77777777" w:rsidR="006409AD" w:rsidRPr="00BA0C50" w:rsidRDefault="006409AD" w:rsidP="00BA18B8">
            <w:pPr>
              <w:spacing w:before="120" w:after="0" w:line="360" w:lineRule="atLeast"/>
              <w:jc w:val="center"/>
              <w:rPr>
                <w:rFonts w:eastAsia="Calibri" w:cs="Times New Roman"/>
                <w:b/>
                <w:bCs/>
                <w:sz w:val="26"/>
                <w:szCs w:val="26"/>
              </w:rPr>
            </w:pPr>
            <w:r w:rsidRPr="00BA0C50">
              <w:rPr>
                <w:rFonts w:eastAsia="Calibri" w:cs="Times New Roman"/>
                <w:b/>
                <w:bCs/>
                <w:sz w:val="26"/>
                <w:szCs w:val="26"/>
              </w:rPr>
              <w:t>I</w:t>
            </w:r>
          </w:p>
        </w:tc>
        <w:tc>
          <w:tcPr>
            <w:tcW w:w="3247" w:type="dxa"/>
            <w:tcBorders>
              <w:top w:val="single" w:sz="4" w:space="0" w:color="auto"/>
              <w:left w:val="nil"/>
              <w:bottom w:val="single" w:sz="4" w:space="0" w:color="auto"/>
              <w:right w:val="single" w:sz="4" w:space="0" w:color="auto"/>
            </w:tcBorders>
            <w:shd w:val="clear" w:color="auto" w:fill="auto"/>
            <w:vAlign w:val="center"/>
          </w:tcPr>
          <w:p w14:paraId="6458B4C6" w14:textId="77777777" w:rsidR="006409AD" w:rsidRPr="00BA0C50" w:rsidRDefault="006409AD" w:rsidP="00BA18B8">
            <w:pPr>
              <w:spacing w:before="120" w:after="0" w:line="360" w:lineRule="atLeast"/>
              <w:rPr>
                <w:rFonts w:eastAsia="Times New Roman" w:cs="Times New Roman"/>
                <w:b/>
                <w:szCs w:val="28"/>
              </w:rPr>
            </w:pPr>
            <w:r w:rsidRPr="00BA0C50">
              <w:rPr>
                <w:rFonts w:eastAsia="Times New Roman" w:cs="Times New Roman"/>
                <w:b/>
                <w:szCs w:val="28"/>
              </w:rPr>
              <w:t>Thiệt hại vật nuôi do di chuyển</w:t>
            </w:r>
          </w:p>
        </w:tc>
        <w:tc>
          <w:tcPr>
            <w:tcW w:w="2126" w:type="dxa"/>
            <w:tcBorders>
              <w:top w:val="single" w:sz="4" w:space="0" w:color="auto"/>
              <w:left w:val="nil"/>
              <w:bottom w:val="single" w:sz="4" w:space="0" w:color="auto"/>
              <w:right w:val="single" w:sz="4" w:space="0" w:color="auto"/>
            </w:tcBorders>
            <w:shd w:val="clear" w:color="auto" w:fill="auto"/>
            <w:vAlign w:val="center"/>
          </w:tcPr>
          <w:p w14:paraId="3A1BEAF8" w14:textId="77777777" w:rsidR="006409AD" w:rsidRPr="00BA0C50" w:rsidRDefault="006409AD" w:rsidP="00BA18B8">
            <w:pPr>
              <w:spacing w:before="120" w:after="0" w:line="360" w:lineRule="atLeast"/>
              <w:jc w:val="center"/>
              <w:rPr>
                <w:rFonts w:eastAsia="Calibri" w:cs="Times New Roman"/>
                <w:b/>
                <w:bCs/>
                <w:sz w:val="26"/>
                <w:szCs w:val="26"/>
              </w:rPr>
            </w:pPr>
          </w:p>
        </w:tc>
        <w:tc>
          <w:tcPr>
            <w:tcW w:w="3193" w:type="dxa"/>
            <w:tcBorders>
              <w:top w:val="single" w:sz="4" w:space="0" w:color="auto"/>
              <w:left w:val="nil"/>
              <w:bottom w:val="single" w:sz="4" w:space="0" w:color="auto"/>
              <w:right w:val="single" w:sz="4" w:space="0" w:color="auto"/>
            </w:tcBorders>
            <w:shd w:val="clear" w:color="auto" w:fill="auto"/>
            <w:vAlign w:val="center"/>
          </w:tcPr>
          <w:p w14:paraId="5C11FA2B" w14:textId="77777777" w:rsidR="006409AD" w:rsidRPr="00BA0C50" w:rsidRDefault="006409AD" w:rsidP="00BA18B8">
            <w:pPr>
              <w:spacing w:before="120" w:after="0" w:line="360" w:lineRule="atLeast"/>
              <w:jc w:val="center"/>
              <w:rPr>
                <w:rFonts w:eastAsia="Calibri" w:cs="Times New Roman"/>
                <w:b/>
                <w:bCs/>
                <w:sz w:val="26"/>
                <w:szCs w:val="26"/>
              </w:rPr>
            </w:pPr>
            <w:r w:rsidRPr="00BA0C50">
              <w:rPr>
                <w:rFonts w:eastAsia="Calibri" w:cs="Times New Roman"/>
                <w:i/>
                <w:sz w:val="26"/>
                <w:szCs w:val="26"/>
              </w:rPr>
              <w:t>(do</w:t>
            </w:r>
            <w:r w:rsidRPr="00BA0C50">
              <w:rPr>
                <w:rFonts w:eastAsia="Calibri" w:cs="Times New Roman"/>
                <w:sz w:val="26"/>
                <w:szCs w:val="26"/>
              </w:rPr>
              <w:t xml:space="preserve"> </w:t>
            </w:r>
            <w:r w:rsidRPr="00BA0C50">
              <w:rPr>
                <w:rFonts w:eastAsia="Calibri" w:cs="Times New Roman"/>
                <w:i/>
                <w:sz w:val="26"/>
                <w:szCs w:val="26"/>
              </w:rPr>
              <w:t>chết, gãy xương, xây sát, thui chột…)</w:t>
            </w:r>
          </w:p>
        </w:tc>
      </w:tr>
      <w:tr w:rsidR="006409AD" w:rsidRPr="00BA0C50" w14:paraId="5BD8F456" w14:textId="77777777" w:rsidTr="00BA18B8">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657EB7B1" w14:textId="77777777" w:rsidR="006409AD" w:rsidRPr="00BA0C50" w:rsidRDefault="006409AD" w:rsidP="00BA18B8">
            <w:pPr>
              <w:spacing w:before="120" w:after="0" w:line="360" w:lineRule="atLeast"/>
              <w:jc w:val="center"/>
              <w:rPr>
                <w:rFonts w:eastAsia="Calibri" w:cs="Times New Roman"/>
                <w:sz w:val="26"/>
                <w:szCs w:val="26"/>
              </w:rPr>
            </w:pPr>
            <w:r w:rsidRPr="00BA0C50">
              <w:rPr>
                <w:rFonts w:eastAsia="Calibri" w:cs="Times New Roman"/>
                <w:sz w:val="26"/>
                <w:szCs w:val="26"/>
              </w:rPr>
              <w:t>1</w:t>
            </w:r>
          </w:p>
        </w:tc>
        <w:tc>
          <w:tcPr>
            <w:tcW w:w="3247" w:type="dxa"/>
            <w:tcBorders>
              <w:top w:val="nil"/>
              <w:left w:val="nil"/>
              <w:bottom w:val="single" w:sz="4" w:space="0" w:color="auto"/>
              <w:right w:val="single" w:sz="4" w:space="0" w:color="auto"/>
            </w:tcBorders>
            <w:shd w:val="clear" w:color="auto" w:fill="auto"/>
            <w:noWrap/>
            <w:vAlign w:val="center"/>
            <w:hideMark/>
          </w:tcPr>
          <w:p w14:paraId="4959E16F" w14:textId="77777777" w:rsidR="006409AD" w:rsidRPr="00BA0C50" w:rsidRDefault="006409AD" w:rsidP="00BA18B8">
            <w:pPr>
              <w:spacing w:before="120" w:after="0" w:line="360" w:lineRule="atLeast"/>
              <w:jc w:val="both"/>
              <w:rPr>
                <w:rFonts w:eastAsia="Times New Roman" w:cs="Times New Roman"/>
                <w:szCs w:val="28"/>
              </w:rPr>
            </w:pPr>
            <w:r w:rsidRPr="00BA0C50">
              <w:rPr>
                <w:rFonts w:eastAsia="Times New Roman" w:cs="Times New Roman"/>
                <w:szCs w:val="28"/>
              </w:rPr>
              <w:t>Gia cầm</w:t>
            </w:r>
          </w:p>
        </w:tc>
        <w:tc>
          <w:tcPr>
            <w:tcW w:w="2126" w:type="dxa"/>
            <w:tcBorders>
              <w:top w:val="nil"/>
              <w:left w:val="nil"/>
              <w:bottom w:val="single" w:sz="4" w:space="0" w:color="auto"/>
              <w:right w:val="single" w:sz="4" w:space="0" w:color="auto"/>
            </w:tcBorders>
            <w:shd w:val="clear" w:color="auto" w:fill="auto"/>
            <w:noWrap/>
            <w:vAlign w:val="center"/>
            <w:hideMark/>
          </w:tcPr>
          <w:p w14:paraId="182A3AE4" w14:textId="77777777" w:rsidR="006409AD" w:rsidRPr="00BA0C50" w:rsidRDefault="006409AD" w:rsidP="00BA18B8">
            <w:pPr>
              <w:spacing w:before="120" w:after="0" w:line="360" w:lineRule="atLeast"/>
              <w:jc w:val="center"/>
              <w:rPr>
                <w:rFonts w:eastAsia="Calibri" w:cs="Times New Roman"/>
                <w:sz w:val="26"/>
                <w:szCs w:val="26"/>
              </w:rPr>
            </w:pPr>
            <w:r w:rsidRPr="00BA0C50">
              <w:rPr>
                <w:rFonts w:eastAsia="Calibri" w:cs="Times New Roman"/>
                <w:sz w:val="26"/>
                <w:szCs w:val="26"/>
              </w:rPr>
              <w:t>10% GTVN</w:t>
            </w:r>
          </w:p>
        </w:tc>
        <w:tc>
          <w:tcPr>
            <w:tcW w:w="3193" w:type="dxa"/>
            <w:tcBorders>
              <w:top w:val="nil"/>
              <w:left w:val="nil"/>
              <w:bottom w:val="single" w:sz="4" w:space="0" w:color="auto"/>
              <w:right w:val="single" w:sz="4" w:space="0" w:color="auto"/>
            </w:tcBorders>
            <w:shd w:val="clear" w:color="auto" w:fill="auto"/>
            <w:noWrap/>
            <w:vAlign w:val="center"/>
            <w:hideMark/>
          </w:tcPr>
          <w:p w14:paraId="2721EEF5" w14:textId="77777777" w:rsidR="006409AD" w:rsidRPr="00BA0C50" w:rsidRDefault="006409AD" w:rsidP="00BA18B8">
            <w:pPr>
              <w:spacing w:before="120" w:after="0" w:line="360" w:lineRule="atLeast"/>
              <w:rPr>
                <w:rFonts w:eastAsia="Calibri" w:cs="Times New Roman"/>
                <w:sz w:val="26"/>
                <w:szCs w:val="26"/>
              </w:rPr>
            </w:pPr>
            <w:r w:rsidRPr="00BA0C50">
              <w:rPr>
                <w:rFonts w:eastAsia="Calibri" w:cs="Times New Roman"/>
                <w:sz w:val="26"/>
                <w:szCs w:val="26"/>
              </w:rPr>
              <w:t> </w:t>
            </w:r>
          </w:p>
        </w:tc>
      </w:tr>
      <w:tr w:rsidR="006409AD" w:rsidRPr="00BA0C50" w14:paraId="6A735D15" w14:textId="77777777" w:rsidTr="00BA18B8">
        <w:trPr>
          <w:trHeight w:val="522"/>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2D225E16" w14:textId="77777777" w:rsidR="006409AD" w:rsidRPr="00BA0C50" w:rsidRDefault="006409AD" w:rsidP="00BA18B8">
            <w:pPr>
              <w:spacing w:before="120" w:after="0" w:line="360" w:lineRule="atLeast"/>
              <w:jc w:val="center"/>
              <w:rPr>
                <w:rFonts w:eastAsia="Calibri" w:cs="Times New Roman"/>
                <w:sz w:val="26"/>
                <w:szCs w:val="26"/>
              </w:rPr>
            </w:pPr>
            <w:r w:rsidRPr="00BA0C50">
              <w:rPr>
                <w:rFonts w:eastAsia="Calibri" w:cs="Times New Roman"/>
                <w:sz w:val="26"/>
                <w:szCs w:val="26"/>
              </w:rPr>
              <w:t>2</w:t>
            </w:r>
          </w:p>
        </w:tc>
        <w:tc>
          <w:tcPr>
            <w:tcW w:w="3247" w:type="dxa"/>
            <w:tcBorders>
              <w:top w:val="nil"/>
              <w:left w:val="nil"/>
              <w:bottom w:val="single" w:sz="4" w:space="0" w:color="auto"/>
              <w:right w:val="single" w:sz="4" w:space="0" w:color="auto"/>
            </w:tcBorders>
            <w:shd w:val="clear" w:color="auto" w:fill="auto"/>
            <w:noWrap/>
            <w:vAlign w:val="center"/>
            <w:hideMark/>
          </w:tcPr>
          <w:p w14:paraId="1A80397A" w14:textId="77777777" w:rsidR="006409AD" w:rsidRPr="00BA0C50" w:rsidRDefault="006409AD" w:rsidP="00BA18B8">
            <w:pPr>
              <w:spacing w:before="120" w:after="0" w:line="360" w:lineRule="atLeast"/>
              <w:jc w:val="both"/>
              <w:rPr>
                <w:rFonts w:eastAsia="Calibri" w:cs="Times New Roman"/>
                <w:sz w:val="26"/>
                <w:szCs w:val="26"/>
              </w:rPr>
            </w:pPr>
            <w:r w:rsidRPr="00BA0C50">
              <w:rPr>
                <w:rFonts w:eastAsia="Calibri" w:cs="Times New Roman"/>
                <w:sz w:val="26"/>
                <w:szCs w:val="26"/>
              </w:rPr>
              <w:t>Gia súc</w:t>
            </w:r>
          </w:p>
        </w:tc>
        <w:tc>
          <w:tcPr>
            <w:tcW w:w="2126" w:type="dxa"/>
            <w:tcBorders>
              <w:top w:val="nil"/>
              <w:left w:val="nil"/>
              <w:bottom w:val="single" w:sz="4" w:space="0" w:color="auto"/>
              <w:right w:val="single" w:sz="4" w:space="0" w:color="auto"/>
            </w:tcBorders>
            <w:shd w:val="clear" w:color="auto" w:fill="auto"/>
            <w:noWrap/>
            <w:vAlign w:val="center"/>
            <w:hideMark/>
          </w:tcPr>
          <w:p w14:paraId="4429BBBC" w14:textId="77777777" w:rsidR="006409AD" w:rsidRPr="00BA0C50" w:rsidRDefault="006409AD" w:rsidP="00BA18B8">
            <w:pPr>
              <w:spacing w:before="120" w:after="0" w:line="360" w:lineRule="atLeast"/>
              <w:jc w:val="center"/>
              <w:rPr>
                <w:rFonts w:eastAsia="Calibri" w:cs="Times New Roman"/>
                <w:sz w:val="26"/>
                <w:szCs w:val="26"/>
              </w:rPr>
            </w:pPr>
            <w:r w:rsidRPr="00BA0C50">
              <w:rPr>
                <w:rFonts w:eastAsia="Calibri" w:cs="Times New Roman"/>
                <w:sz w:val="26"/>
                <w:szCs w:val="26"/>
              </w:rPr>
              <w:t>07% GTVN</w:t>
            </w:r>
          </w:p>
        </w:tc>
        <w:tc>
          <w:tcPr>
            <w:tcW w:w="3193" w:type="dxa"/>
            <w:tcBorders>
              <w:top w:val="nil"/>
              <w:left w:val="nil"/>
              <w:bottom w:val="single" w:sz="4" w:space="0" w:color="auto"/>
              <w:right w:val="single" w:sz="4" w:space="0" w:color="auto"/>
            </w:tcBorders>
            <w:shd w:val="clear" w:color="auto" w:fill="auto"/>
            <w:noWrap/>
            <w:vAlign w:val="center"/>
            <w:hideMark/>
          </w:tcPr>
          <w:p w14:paraId="101400E7" w14:textId="77777777" w:rsidR="006409AD" w:rsidRPr="00BA0C50" w:rsidRDefault="006409AD" w:rsidP="00BA18B8">
            <w:pPr>
              <w:spacing w:before="120" w:after="0" w:line="360" w:lineRule="atLeast"/>
              <w:rPr>
                <w:rFonts w:eastAsia="Calibri" w:cs="Times New Roman"/>
                <w:sz w:val="26"/>
                <w:szCs w:val="26"/>
              </w:rPr>
            </w:pPr>
            <w:r w:rsidRPr="00BA0C50">
              <w:rPr>
                <w:rFonts w:eastAsia="Calibri" w:cs="Times New Roman"/>
                <w:sz w:val="26"/>
                <w:szCs w:val="26"/>
              </w:rPr>
              <w:t> </w:t>
            </w:r>
          </w:p>
        </w:tc>
      </w:tr>
      <w:tr w:rsidR="006409AD" w:rsidRPr="00BA0C50" w14:paraId="2FDB40EA" w14:textId="77777777" w:rsidTr="00BA18B8">
        <w:trPr>
          <w:trHeight w:val="465"/>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6CD30" w14:textId="77777777" w:rsidR="006409AD" w:rsidRPr="00BA0C50" w:rsidRDefault="006409AD" w:rsidP="00BA18B8">
            <w:pPr>
              <w:spacing w:before="120" w:after="0" w:line="360" w:lineRule="atLeast"/>
              <w:jc w:val="center"/>
              <w:rPr>
                <w:rFonts w:eastAsia="Calibri" w:cs="Times New Roman"/>
                <w:sz w:val="26"/>
                <w:szCs w:val="26"/>
              </w:rPr>
            </w:pPr>
            <w:r w:rsidRPr="00BA0C50">
              <w:rPr>
                <w:rFonts w:eastAsia="Calibri" w:cs="Times New Roman"/>
                <w:sz w:val="26"/>
                <w:szCs w:val="26"/>
              </w:rPr>
              <w:t>3</w:t>
            </w:r>
          </w:p>
        </w:tc>
        <w:tc>
          <w:tcPr>
            <w:tcW w:w="3247" w:type="dxa"/>
            <w:tcBorders>
              <w:top w:val="single" w:sz="4" w:space="0" w:color="auto"/>
              <w:left w:val="nil"/>
              <w:bottom w:val="single" w:sz="4" w:space="0" w:color="auto"/>
              <w:right w:val="single" w:sz="4" w:space="0" w:color="auto"/>
            </w:tcBorders>
            <w:shd w:val="clear" w:color="auto" w:fill="auto"/>
            <w:noWrap/>
            <w:vAlign w:val="center"/>
            <w:hideMark/>
          </w:tcPr>
          <w:p w14:paraId="73BA8D1D" w14:textId="77777777" w:rsidR="006409AD" w:rsidRPr="00BA0C50" w:rsidRDefault="006409AD" w:rsidP="00BA18B8">
            <w:pPr>
              <w:spacing w:before="120" w:after="0" w:line="360" w:lineRule="atLeast"/>
              <w:jc w:val="both"/>
              <w:rPr>
                <w:rFonts w:eastAsia="Calibri" w:cs="Times New Roman"/>
                <w:sz w:val="26"/>
                <w:szCs w:val="26"/>
              </w:rPr>
            </w:pPr>
            <w:r w:rsidRPr="00BA0C50">
              <w:rPr>
                <w:rFonts w:eastAsia="Calibri" w:cs="Times New Roman"/>
                <w:sz w:val="26"/>
                <w:szCs w:val="26"/>
              </w:rPr>
              <w:t>Vật nuôi khác</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56C49A34" w14:textId="77777777" w:rsidR="006409AD" w:rsidRPr="00BA0C50" w:rsidRDefault="006409AD" w:rsidP="00BA18B8">
            <w:pPr>
              <w:spacing w:before="120" w:after="0" w:line="360" w:lineRule="atLeast"/>
              <w:jc w:val="center"/>
              <w:rPr>
                <w:rFonts w:eastAsia="Calibri" w:cs="Times New Roman"/>
                <w:sz w:val="26"/>
                <w:szCs w:val="26"/>
              </w:rPr>
            </w:pPr>
            <w:r w:rsidRPr="00BA0C50">
              <w:rPr>
                <w:rFonts w:eastAsia="Calibri" w:cs="Times New Roman"/>
                <w:sz w:val="26"/>
                <w:szCs w:val="26"/>
              </w:rPr>
              <w:t>03% GTVN</w:t>
            </w:r>
          </w:p>
        </w:tc>
        <w:tc>
          <w:tcPr>
            <w:tcW w:w="3193" w:type="dxa"/>
            <w:tcBorders>
              <w:top w:val="single" w:sz="4" w:space="0" w:color="auto"/>
              <w:left w:val="nil"/>
              <w:bottom w:val="single" w:sz="4" w:space="0" w:color="auto"/>
              <w:right w:val="single" w:sz="4" w:space="0" w:color="auto"/>
            </w:tcBorders>
            <w:shd w:val="clear" w:color="auto" w:fill="auto"/>
            <w:noWrap/>
            <w:vAlign w:val="center"/>
            <w:hideMark/>
          </w:tcPr>
          <w:p w14:paraId="4F5CA2B8" w14:textId="77777777" w:rsidR="006409AD" w:rsidRPr="00BA0C50" w:rsidRDefault="006409AD" w:rsidP="00BA18B8">
            <w:pPr>
              <w:spacing w:before="120" w:after="0" w:line="360" w:lineRule="atLeast"/>
              <w:rPr>
                <w:rFonts w:eastAsia="Calibri" w:cs="Times New Roman"/>
                <w:sz w:val="26"/>
                <w:szCs w:val="26"/>
              </w:rPr>
            </w:pPr>
            <w:r w:rsidRPr="00BA0C50">
              <w:rPr>
                <w:rFonts w:eastAsia="Calibri" w:cs="Times New Roman"/>
                <w:sz w:val="26"/>
                <w:szCs w:val="26"/>
              </w:rPr>
              <w:t> </w:t>
            </w:r>
          </w:p>
        </w:tc>
      </w:tr>
      <w:tr w:rsidR="006409AD" w:rsidRPr="00BA0C50" w14:paraId="6674C938" w14:textId="77777777" w:rsidTr="00BA18B8">
        <w:trPr>
          <w:trHeight w:val="465"/>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62335" w14:textId="77777777" w:rsidR="006409AD" w:rsidRPr="00BA0C50" w:rsidRDefault="006409AD" w:rsidP="00BA18B8">
            <w:pPr>
              <w:spacing w:before="120" w:after="0" w:line="240" w:lineRule="auto"/>
              <w:jc w:val="center"/>
              <w:rPr>
                <w:rFonts w:eastAsia="Calibri" w:cs="Times New Roman"/>
                <w:b/>
                <w:sz w:val="26"/>
                <w:szCs w:val="26"/>
              </w:rPr>
            </w:pPr>
            <w:r w:rsidRPr="00BA0C50">
              <w:rPr>
                <w:rFonts w:eastAsia="Calibri" w:cs="Times New Roman"/>
                <w:b/>
                <w:sz w:val="26"/>
                <w:szCs w:val="26"/>
              </w:rPr>
              <w:t>II</w:t>
            </w:r>
          </w:p>
        </w:tc>
        <w:tc>
          <w:tcPr>
            <w:tcW w:w="3247" w:type="dxa"/>
            <w:tcBorders>
              <w:top w:val="single" w:sz="4" w:space="0" w:color="auto"/>
              <w:left w:val="nil"/>
              <w:bottom w:val="single" w:sz="4" w:space="0" w:color="auto"/>
              <w:right w:val="single" w:sz="4" w:space="0" w:color="auto"/>
            </w:tcBorders>
            <w:shd w:val="clear" w:color="auto" w:fill="auto"/>
            <w:noWrap/>
            <w:vAlign w:val="center"/>
          </w:tcPr>
          <w:p w14:paraId="489165B2" w14:textId="77777777" w:rsidR="006409AD" w:rsidRPr="00BA0C50" w:rsidRDefault="006409AD" w:rsidP="00BA18B8">
            <w:pPr>
              <w:spacing w:before="120" w:after="0" w:line="240" w:lineRule="auto"/>
              <w:jc w:val="both"/>
              <w:rPr>
                <w:rFonts w:eastAsia="Calibri" w:cs="Times New Roman"/>
                <w:b/>
                <w:sz w:val="26"/>
                <w:szCs w:val="26"/>
              </w:rPr>
            </w:pPr>
            <w:r w:rsidRPr="00BA0C50">
              <w:rPr>
                <w:rFonts w:eastAsia="Calibri" w:cs="Times New Roman"/>
                <w:b/>
                <w:sz w:val="26"/>
                <w:szCs w:val="26"/>
              </w:rPr>
              <w:t xml:space="preserve">Chi phí khác </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0CF73569" w14:textId="77777777" w:rsidR="006409AD" w:rsidRPr="00BA0C50" w:rsidRDefault="006409AD" w:rsidP="00BA18B8">
            <w:pPr>
              <w:spacing w:before="120" w:after="0" w:line="240" w:lineRule="auto"/>
              <w:jc w:val="center"/>
              <w:rPr>
                <w:rFonts w:eastAsia="Calibri" w:cs="Times New Roman"/>
                <w:sz w:val="26"/>
                <w:szCs w:val="26"/>
              </w:rPr>
            </w:pPr>
            <w:r w:rsidRPr="00BA0C50">
              <w:rPr>
                <w:rFonts w:eastAsia="Calibri" w:cs="Times New Roman"/>
                <w:sz w:val="26"/>
                <w:szCs w:val="26"/>
              </w:rPr>
              <w:t>1.000.000đ/tấn trọng lượng</w:t>
            </w:r>
          </w:p>
        </w:tc>
        <w:tc>
          <w:tcPr>
            <w:tcW w:w="3193" w:type="dxa"/>
            <w:tcBorders>
              <w:top w:val="single" w:sz="4" w:space="0" w:color="auto"/>
              <w:left w:val="nil"/>
              <w:bottom w:val="single" w:sz="4" w:space="0" w:color="auto"/>
              <w:right w:val="single" w:sz="4" w:space="0" w:color="auto"/>
            </w:tcBorders>
            <w:shd w:val="clear" w:color="auto" w:fill="auto"/>
            <w:noWrap/>
            <w:vAlign w:val="center"/>
          </w:tcPr>
          <w:p w14:paraId="02C8A529" w14:textId="77777777" w:rsidR="006409AD" w:rsidRPr="00BA0C50" w:rsidRDefault="006409AD" w:rsidP="00BA18B8">
            <w:pPr>
              <w:spacing w:before="120" w:after="0" w:line="240" w:lineRule="auto"/>
              <w:jc w:val="center"/>
              <w:rPr>
                <w:rFonts w:eastAsia="Calibri" w:cs="Times New Roman"/>
                <w:i/>
                <w:sz w:val="26"/>
                <w:szCs w:val="26"/>
              </w:rPr>
            </w:pPr>
            <w:r w:rsidRPr="00BA0C50">
              <w:rPr>
                <w:rFonts w:eastAsia="Calibri" w:cs="Times New Roman"/>
                <w:i/>
                <w:sz w:val="26"/>
                <w:szCs w:val="26"/>
              </w:rPr>
              <w:t>Nhân công bốc xếp, Vật tư, dụng cụ phục vụ vận chuyển (lồng, gióng, giá,…)</w:t>
            </w:r>
          </w:p>
        </w:tc>
      </w:tr>
    </w:tbl>
    <w:p w14:paraId="29585372" w14:textId="77777777" w:rsidR="006409AD" w:rsidRPr="00BA0C50" w:rsidRDefault="006409AD" w:rsidP="006409AD">
      <w:pPr>
        <w:spacing w:before="120" w:after="240" w:line="360" w:lineRule="atLeast"/>
        <w:ind w:firstLine="720"/>
        <w:jc w:val="both"/>
        <w:rPr>
          <w:rFonts w:eastAsia="Calibri" w:cs="Times New Roman"/>
          <w:bCs/>
          <w:i/>
          <w:color w:val="000000"/>
          <w:szCs w:val="28"/>
        </w:rPr>
      </w:pPr>
      <w:r w:rsidRPr="00BA0C50">
        <w:rPr>
          <w:rFonts w:eastAsia="Calibri" w:cs="Times New Roman"/>
          <w:bCs/>
          <w:i/>
          <w:color w:val="000000"/>
          <w:szCs w:val="28"/>
        </w:rPr>
        <w:t>Lý do: Đề xuất đơn giá trên căn cứ  chi phí giá thực tế đối với công lao động bốc sếp, các loại cụ thể như sau:</w:t>
      </w:r>
    </w:p>
    <w:tbl>
      <w:tblPr>
        <w:tblW w:w="9132" w:type="dxa"/>
        <w:tblInd w:w="113" w:type="dxa"/>
        <w:tblLook w:val="04A0" w:firstRow="1" w:lastRow="0" w:firstColumn="1" w:lastColumn="0" w:noHBand="0" w:noVBand="1"/>
      </w:tblPr>
      <w:tblGrid>
        <w:gridCol w:w="590"/>
        <w:gridCol w:w="2836"/>
        <w:gridCol w:w="874"/>
        <w:gridCol w:w="863"/>
        <w:gridCol w:w="1559"/>
        <w:gridCol w:w="1276"/>
        <w:gridCol w:w="1134"/>
      </w:tblGrid>
      <w:tr w:rsidR="006409AD" w:rsidRPr="00BA0C50" w14:paraId="1E1ED682" w14:textId="77777777" w:rsidTr="00BA18B8">
        <w:trPr>
          <w:trHeight w:val="571"/>
          <w:tblHead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60EB0"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t>TT</w:t>
            </w:r>
          </w:p>
        </w:tc>
        <w:tc>
          <w:tcPr>
            <w:tcW w:w="2836" w:type="dxa"/>
            <w:tcBorders>
              <w:top w:val="single" w:sz="4" w:space="0" w:color="auto"/>
              <w:left w:val="nil"/>
              <w:bottom w:val="single" w:sz="4" w:space="0" w:color="auto"/>
              <w:right w:val="single" w:sz="4" w:space="0" w:color="auto"/>
            </w:tcBorders>
            <w:shd w:val="clear" w:color="auto" w:fill="auto"/>
            <w:vAlign w:val="center"/>
            <w:hideMark/>
          </w:tcPr>
          <w:p w14:paraId="7DEE3A58"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t xml:space="preserve">Loại vật nuôi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14:paraId="37413BF4"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t>ĐVT</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5CA5CE64"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t>Số lượng</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FEBA87E"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t>Đơn giá (đồng)</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EABE5A1"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t>Thành tiền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39534FE"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t>Ghi chú</w:t>
            </w:r>
          </w:p>
        </w:tc>
      </w:tr>
      <w:tr w:rsidR="006409AD" w:rsidRPr="00BA0C50" w14:paraId="310C7186" w14:textId="77777777" w:rsidTr="00BA18B8">
        <w:trPr>
          <w:trHeight w:val="45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2017F1BA"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lastRenderedPageBreak/>
              <w:t>I</w:t>
            </w:r>
          </w:p>
        </w:tc>
        <w:tc>
          <w:tcPr>
            <w:tcW w:w="2836" w:type="dxa"/>
            <w:tcBorders>
              <w:top w:val="nil"/>
              <w:left w:val="nil"/>
              <w:bottom w:val="single" w:sz="4" w:space="0" w:color="auto"/>
              <w:right w:val="single" w:sz="4" w:space="0" w:color="auto"/>
            </w:tcBorders>
            <w:shd w:val="clear" w:color="auto" w:fill="auto"/>
            <w:vAlign w:val="center"/>
            <w:hideMark/>
          </w:tcPr>
          <w:p w14:paraId="51A11E66" w14:textId="77777777" w:rsidR="006409AD" w:rsidRPr="00BA0C50" w:rsidRDefault="006409AD" w:rsidP="00BA18B8">
            <w:pPr>
              <w:spacing w:before="120" w:after="0" w:line="360" w:lineRule="atLeast"/>
              <w:jc w:val="both"/>
              <w:rPr>
                <w:rFonts w:eastAsia="Calibri" w:cs="Times New Roman"/>
                <w:b/>
                <w:bCs/>
                <w:color w:val="000000"/>
                <w:sz w:val="26"/>
                <w:szCs w:val="26"/>
              </w:rPr>
            </w:pPr>
            <w:r w:rsidRPr="00BA0C50">
              <w:rPr>
                <w:rFonts w:eastAsia="Calibri" w:cs="Times New Roman"/>
                <w:b/>
                <w:bCs/>
                <w:color w:val="000000"/>
                <w:sz w:val="26"/>
                <w:szCs w:val="26"/>
              </w:rPr>
              <w:t xml:space="preserve">Đơn giá chi phí khác đối với di dời </w:t>
            </w:r>
          </w:p>
        </w:tc>
        <w:tc>
          <w:tcPr>
            <w:tcW w:w="874" w:type="dxa"/>
            <w:tcBorders>
              <w:top w:val="nil"/>
              <w:left w:val="nil"/>
              <w:bottom w:val="single" w:sz="4" w:space="0" w:color="auto"/>
              <w:right w:val="single" w:sz="4" w:space="0" w:color="auto"/>
            </w:tcBorders>
            <w:shd w:val="clear" w:color="auto" w:fill="auto"/>
            <w:vAlign w:val="center"/>
            <w:hideMark/>
          </w:tcPr>
          <w:p w14:paraId="2D1800E1"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t>Đồng </w:t>
            </w:r>
          </w:p>
        </w:tc>
        <w:tc>
          <w:tcPr>
            <w:tcW w:w="863" w:type="dxa"/>
            <w:tcBorders>
              <w:top w:val="nil"/>
              <w:left w:val="nil"/>
              <w:bottom w:val="single" w:sz="4" w:space="0" w:color="auto"/>
              <w:right w:val="single" w:sz="4" w:space="0" w:color="auto"/>
            </w:tcBorders>
            <w:shd w:val="clear" w:color="auto" w:fill="auto"/>
            <w:vAlign w:val="center"/>
            <w:hideMark/>
          </w:tcPr>
          <w:p w14:paraId="0CE678B4"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14:paraId="00B15761"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t> </w:t>
            </w:r>
          </w:p>
        </w:tc>
        <w:tc>
          <w:tcPr>
            <w:tcW w:w="1276" w:type="dxa"/>
            <w:tcBorders>
              <w:top w:val="nil"/>
              <w:left w:val="nil"/>
              <w:bottom w:val="single" w:sz="4" w:space="0" w:color="auto"/>
              <w:right w:val="single" w:sz="4" w:space="0" w:color="auto"/>
            </w:tcBorders>
            <w:shd w:val="clear" w:color="auto" w:fill="auto"/>
            <w:vAlign w:val="center"/>
            <w:hideMark/>
          </w:tcPr>
          <w:p w14:paraId="2E71CA61" w14:textId="77777777" w:rsidR="006409AD" w:rsidRPr="00BA0C50" w:rsidRDefault="006409AD" w:rsidP="00BA18B8">
            <w:pPr>
              <w:spacing w:before="120" w:after="0" w:line="360" w:lineRule="atLeast"/>
              <w:jc w:val="right"/>
              <w:rPr>
                <w:rFonts w:eastAsia="Calibri" w:cs="Times New Roman"/>
                <w:b/>
                <w:bCs/>
                <w:color w:val="000000"/>
                <w:sz w:val="26"/>
                <w:szCs w:val="26"/>
              </w:rPr>
            </w:pPr>
            <w:r w:rsidRPr="00BA0C50">
              <w:rPr>
                <w:rFonts w:eastAsia="Calibri" w:cs="Times New Roman"/>
                <w:b/>
                <w:bCs/>
                <w:color w:val="000000"/>
                <w:sz w:val="26"/>
                <w:szCs w:val="26"/>
              </w:rPr>
              <w:t>1.000.000</w:t>
            </w:r>
          </w:p>
        </w:tc>
        <w:tc>
          <w:tcPr>
            <w:tcW w:w="1134" w:type="dxa"/>
            <w:tcBorders>
              <w:top w:val="nil"/>
              <w:left w:val="nil"/>
              <w:bottom w:val="single" w:sz="4" w:space="0" w:color="auto"/>
              <w:right w:val="single" w:sz="4" w:space="0" w:color="auto"/>
            </w:tcBorders>
            <w:shd w:val="clear" w:color="auto" w:fill="auto"/>
            <w:vAlign w:val="center"/>
            <w:hideMark/>
          </w:tcPr>
          <w:p w14:paraId="5E6DB02C" w14:textId="77777777" w:rsidR="006409AD" w:rsidRPr="00BA0C50" w:rsidRDefault="006409AD" w:rsidP="00BA18B8">
            <w:pPr>
              <w:spacing w:before="120" w:after="0" w:line="360" w:lineRule="atLeast"/>
              <w:jc w:val="center"/>
              <w:rPr>
                <w:rFonts w:eastAsia="Calibri" w:cs="Times New Roman"/>
                <w:b/>
                <w:bCs/>
                <w:color w:val="000000"/>
                <w:sz w:val="26"/>
                <w:szCs w:val="26"/>
              </w:rPr>
            </w:pPr>
            <w:r w:rsidRPr="00BA0C50">
              <w:rPr>
                <w:rFonts w:eastAsia="Calibri" w:cs="Times New Roman"/>
                <w:b/>
                <w:bCs/>
                <w:color w:val="000000"/>
                <w:sz w:val="26"/>
                <w:szCs w:val="26"/>
              </w:rPr>
              <w:t> </w:t>
            </w:r>
          </w:p>
        </w:tc>
      </w:tr>
      <w:tr w:rsidR="006409AD" w:rsidRPr="00BA0C50" w14:paraId="1E47373C" w14:textId="77777777" w:rsidTr="00BA18B8">
        <w:trPr>
          <w:trHeight w:val="45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456BE245" w14:textId="77777777" w:rsidR="006409AD" w:rsidRPr="00BA0C50" w:rsidRDefault="006409AD" w:rsidP="00BA18B8">
            <w:pPr>
              <w:spacing w:before="120" w:after="0" w:line="360" w:lineRule="atLeast"/>
              <w:jc w:val="center"/>
              <w:rPr>
                <w:rFonts w:eastAsia="Calibri" w:cs="Times New Roman"/>
                <w:color w:val="000000"/>
                <w:sz w:val="26"/>
                <w:szCs w:val="26"/>
              </w:rPr>
            </w:pPr>
            <w:r w:rsidRPr="00BA0C50">
              <w:rPr>
                <w:rFonts w:eastAsia="Calibri" w:cs="Times New Roman"/>
                <w:color w:val="000000"/>
                <w:sz w:val="26"/>
                <w:szCs w:val="26"/>
              </w:rPr>
              <w:t>1</w:t>
            </w:r>
          </w:p>
        </w:tc>
        <w:tc>
          <w:tcPr>
            <w:tcW w:w="2836" w:type="dxa"/>
            <w:tcBorders>
              <w:top w:val="nil"/>
              <w:left w:val="nil"/>
              <w:bottom w:val="single" w:sz="4" w:space="0" w:color="auto"/>
              <w:right w:val="single" w:sz="4" w:space="0" w:color="auto"/>
            </w:tcBorders>
            <w:shd w:val="clear" w:color="auto" w:fill="auto"/>
            <w:noWrap/>
            <w:vAlign w:val="center"/>
            <w:hideMark/>
          </w:tcPr>
          <w:p w14:paraId="56D43A92" w14:textId="77777777" w:rsidR="006409AD" w:rsidRPr="00BA0C50" w:rsidRDefault="006409AD" w:rsidP="00BA18B8">
            <w:pPr>
              <w:spacing w:before="120" w:after="0" w:line="360" w:lineRule="atLeast"/>
              <w:jc w:val="both"/>
              <w:rPr>
                <w:rFonts w:eastAsia="Calibri" w:cs="Times New Roman"/>
                <w:color w:val="000000"/>
                <w:sz w:val="26"/>
                <w:szCs w:val="26"/>
              </w:rPr>
            </w:pPr>
            <w:r w:rsidRPr="00BA0C50">
              <w:rPr>
                <w:rFonts w:eastAsia="Calibri" w:cs="Times New Roman"/>
                <w:color w:val="000000"/>
                <w:sz w:val="26"/>
                <w:szCs w:val="26"/>
              </w:rPr>
              <w:t>Nhân công bốc xếp</w:t>
            </w:r>
          </w:p>
        </w:tc>
        <w:tc>
          <w:tcPr>
            <w:tcW w:w="874" w:type="dxa"/>
            <w:tcBorders>
              <w:top w:val="nil"/>
              <w:left w:val="nil"/>
              <w:bottom w:val="single" w:sz="4" w:space="0" w:color="auto"/>
              <w:right w:val="single" w:sz="4" w:space="0" w:color="auto"/>
            </w:tcBorders>
            <w:shd w:val="clear" w:color="auto" w:fill="auto"/>
            <w:noWrap/>
            <w:vAlign w:val="center"/>
            <w:hideMark/>
          </w:tcPr>
          <w:p w14:paraId="26D7D426" w14:textId="77777777" w:rsidR="006409AD" w:rsidRPr="00BA0C50" w:rsidRDefault="006409AD" w:rsidP="00BA18B8">
            <w:pPr>
              <w:spacing w:before="120" w:after="0" w:line="360" w:lineRule="atLeast"/>
              <w:jc w:val="center"/>
              <w:rPr>
                <w:rFonts w:eastAsia="Calibri" w:cs="Times New Roman"/>
                <w:color w:val="000000"/>
                <w:sz w:val="26"/>
                <w:szCs w:val="26"/>
              </w:rPr>
            </w:pPr>
            <w:r w:rsidRPr="00BA0C50">
              <w:rPr>
                <w:rFonts w:eastAsia="Calibri" w:cs="Times New Roman"/>
                <w:color w:val="000000"/>
                <w:sz w:val="26"/>
                <w:szCs w:val="26"/>
              </w:rPr>
              <w:t>Công</w:t>
            </w:r>
          </w:p>
        </w:tc>
        <w:tc>
          <w:tcPr>
            <w:tcW w:w="863" w:type="dxa"/>
            <w:tcBorders>
              <w:top w:val="nil"/>
              <w:left w:val="nil"/>
              <w:bottom w:val="single" w:sz="4" w:space="0" w:color="auto"/>
              <w:right w:val="single" w:sz="4" w:space="0" w:color="auto"/>
            </w:tcBorders>
            <w:shd w:val="clear" w:color="auto" w:fill="auto"/>
            <w:noWrap/>
            <w:vAlign w:val="center"/>
            <w:hideMark/>
          </w:tcPr>
          <w:p w14:paraId="40F278DE" w14:textId="77777777" w:rsidR="006409AD" w:rsidRPr="00BA0C50" w:rsidRDefault="006409AD" w:rsidP="00BA18B8">
            <w:pPr>
              <w:spacing w:before="120" w:after="0" w:line="360" w:lineRule="atLeast"/>
              <w:jc w:val="right"/>
              <w:rPr>
                <w:rFonts w:eastAsia="Calibri" w:cs="Times New Roman"/>
                <w:color w:val="000000"/>
                <w:sz w:val="26"/>
                <w:szCs w:val="26"/>
              </w:rPr>
            </w:pPr>
            <w:r w:rsidRPr="00BA0C50">
              <w:rPr>
                <w:rFonts w:eastAsia="Calibri" w:cs="Times New Roman"/>
                <w:color w:val="000000"/>
                <w:sz w:val="26"/>
                <w:szCs w:val="26"/>
              </w:rPr>
              <w:t>2</w:t>
            </w:r>
          </w:p>
        </w:tc>
        <w:tc>
          <w:tcPr>
            <w:tcW w:w="1559" w:type="dxa"/>
            <w:tcBorders>
              <w:top w:val="nil"/>
              <w:left w:val="nil"/>
              <w:bottom w:val="single" w:sz="4" w:space="0" w:color="auto"/>
              <w:right w:val="single" w:sz="4" w:space="0" w:color="auto"/>
            </w:tcBorders>
            <w:shd w:val="clear" w:color="auto" w:fill="auto"/>
            <w:noWrap/>
            <w:vAlign w:val="center"/>
            <w:hideMark/>
          </w:tcPr>
          <w:p w14:paraId="3113A5EE" w14:textId="77777777" w:rsidR="006409AD" w:rsidRPr="00BA0C50" w:rsidRDefault="006409AD" w:rsidP="00BA18B8">
            <w:pPr>
              <w:spacing w:before="120" w:after="0" w:line="360" w:lineRule="atLeast"/>
              <w:jc w:val="right"/>
              <w:rPr>
                <w:rFonts w:eastAsia="Calibri" w:cs="Times New Roman"/>
                <w:color w:val="000000"/>
                <w:sz w:val="26"/>
                <w:szCs w:val="26"/>
              </w:rPr>
            </w:pPr>
            <w:r w:rsidRPr="00BA0C50">
              <w:rPr>
                <w:rFonts w:eastAsia="Calibri" w:cs="Times New Roman"/>
                <w:color w:val="000000"/>
                <w:sz w:val="26"/>
                <w:szCs w:val="26"/>
              </w:rPr>
              <w:t>250.000</w:t>
            </w:r>
          </w:p>
        </w:tc>
        <w:tc>
          <w:tcPr>
            <w:tcW w:w="1276" w:type="dxa"/>
            <w:tcBorders>
              <w:top w:val="nil"/>
              <w:left w:val="nil"/>
              <w:bottom w:val="single" w:sz="4" w:space="0" w:color="auto"/>
              <w:right w:val="single" w:sz="4" w:space="0" w:color="auto"/>
            </w:tcBorders>
            <w:shd w:val="clear" w:color="auto" w:fill="auto"/>
            <w:noWrap/>
            <w:vAlign w:val="center"/>
            <w:hideMark/>
          </w:tcPr>
          <w:p w14:paraId="59D167A9" w14:textId="77777777" w:rsidR="006409AD" w:rsidRPr="00BA0C50" w:rsidRDefault="006409AD" w:rsidP="00BA18B8">
            <w:pPr>
              <w:spacing w:before="120" w:after="0" w:line="360" w:lineRule="atLeast"/>
              <w:jc w:val="right"/>
              <w:rPr>
                <w:rFonts w:eastAsia="Calibri" w:cs="Times New Roman"/>
                <w:color w:val="000000"/>
                <w:sz w:val="26"/>
                <w:szCs w:val="26"/>
              </w:rPr>
            </w:pPr>
            <w:r w:rsidRPr="00BA0C50">
              <w:rPr>
                <w:rFonts w:eastAsia="Calibri" w:cs="Times New Roman"/>
                <w:color w:val="000000"/>
                <w:sz w:val="26"/>
                <w:szCs w:val="26"/>
              </w:rPr>
              <w:t>500.000</w:t>
            </w:r>
          </w:p>
        </w:tc>
        <w:tc>
          <w:tcPr>
            <w:tcW w:w="1134" w:type="dxa"/>
            <w:tcBorders>
              <w:top w:val="nil"/>
              <w:left w:val="nil"/>
              <w:bottom w:val="single" w:sz="4" w:space="0" w:color="auto"/>
              <w:right w:val="single" w:sz="4" w:space="0" w:color="auto"/>
            </w:tcBorders>
            <w:shd w:val="clear" w:color="auto" w:fill="auto"/>
            <w:noWrap/>
            <w:vAlign w:val="center"/>
            <w:hideMark/>
          </w:tcPr>
          <w:p w14:paraId="5182B42E" w14:textId="77777777" w:rsidR="006409AD" w:rsidRPr="00BA0C50" w:rsidRDefault="006409AD" w:rsidP="00BA18B8">
            <w:pPr>
              <w:spacing w:before="120" w:after="0" w:line="360" w:lineRule="atLeast"/>
              <w:rPr>
                <w:rFonts w:eastAsia="Calibri" w:cs="Times New Roman"/>
                <w:color w:val="000000"/>
                <w:sz w:val="26"/>
                <w:szCs w:val="26"/>
              </w:rPr>
            </w:pPr>
            <w:r w:rsidRPr="00BA0C50">
              <w:rPr>
                <w:rFonts w:eastAsia="Calibri" w:cs="Times New Roman"/>
                <w:color w:val="000000"/>
                <w:sz w:val="26"/>
                <w:szCs w:val="26"/>
              </w:rPr>
              <w:t>LĐ phổ thông</w:t>
            </w:r>
          </w:p>
        </w:tc>
      </w:tr>
      <w:tr w:rsidR="006409AD" w:rsidRPr="00BA0C50" w14:paraId="34AAEB07" w14:textId="77777777" w:rsidTr="00BA18B8">
        <w:trPr>
          <w:trHeight w:val="76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2D1EA934" w14:textId="77777777" w:rsidR="006409AD" w:rsidRPr="00BA0C50" w:rsidRDefault="006409AD" w:rsidP="00BA18B8">
            <w:pPr>
              <w:spacing w:before="120" w:after="0" w:line="360" w:lineRule="atLeast"/>
              <w:jc w:val="center"/>
              <w:rPr>
                <w:rFonts w:eastAsia="Calibri" w:cs="Times New Roman"/>
                <w:color w:val="000000"/>
                <w:sz w:val="26"/>
                <w:szCs w:val="26"/>
              </w:rPr>
            </w:pPr>
            <w:r w:rsidRPr="00BA0C50">
              <w:rPr>
                <w:rFonts w:eastAsia="Calibri" w:cs="Times New Roman"/>
                <w:color w:val="000000"/>
                <w:sz w:val="26"/>
                <w:szCs w:val="26"/>
              </w:rPr>
              <w:t>2</w:t>
            </w:r>
          </w:p>
        </w:tc>
        <w:tc>
          <w:tcPr>
            <w:tcW w:w="2836" w:type="dxa"/>
            <w:tcBorders>
              <w:top w:val="nil"/>
              <w:left w:val="nil"/>
              <w:bottom w:val="single" w:sz="4" w:space="0" w:color="auto"/>
              <w:right w:val="single" w:sz="4" w:space="0" w:color="auto"/>
            </w:tcBorders>
            <w:shd w:val="clear" w:color="auto" w:fill="auto"/>
            <w:vAlign w:val="center"/>
            <w:hideMark/>
          </w:tcPr>
          <w:p w14:paraId="0C4DF068" w14:textId="77777777" w:rsidR="006409AD" w:rsidRPr="00BA0C50" w:rsidRDefault="006409AD" w:rsidP="00BA18B8">
            <w:pPr>
              <w:spacing w:before="120" w:after="0" w:line="360" w:lineRule="atLeast"/>
              <w:jc w:val="both"/>
              <w:rPr>
                <w:rFonts w:eastAsia="Calibri" w:cs="Times New Roman"/>
                <w:color w:val="000000"/>
                <w:sz w:val="26"/>
                <w:szCs w:val="26"/>
              </w:rPr>
            </w:pPr>
            <w:r w:rsidRPr="00BA0C50">
              <w:rPr>
                <w:rFonts w:eastAsia="Calibri" w:cs="Times New Roman"/>
                <w:color w:val="000000"/>
                <w:sz w:val="26"/>
                <w:szCs w:val="26"/>
              </w:rPr>
              <w:t>Vật tư, dụng cụ phục vụ vận chuyển (lồng, gióng, giá,…)</w:t>
            </w:r>
          </w:p>
        </w:tc>
        <w:tc>
          <w:tcPr>
            <w:tcW w:w="874" w:type="dxa"/>
            <w:tcBorders>
              <w:top w:val="nil"/>
              <w:left w:val="nil"/>
              <w:bottom w:val="single" w:sz="4" w:space="0" w:color="auto"/>
              <w:right w:val="single" w:sz="4" w:space="0" w:color="auto"/>
            </w:tcBorders>
            <w:shd w:val="clear" w:color="auto" w:fill="auto"/>
            <w:noWrap/>
            <w:vAlign w:val="center"/>
            <w:hideMark/>
          </w:tcPr>
          <w:p w14:paraId="250C8852" w14:textId="77777777" w:rsidR="006409AD" w:rsidRPr="00BA0C50" w:rsidRDefault="006409AD" w:rsidP="00BA18B8">
            <w:pPr>
              <w:spacing w:before="120" w:after="0" w:line="360" w:lineRule="atLeast"/>
              <w:jc w:val="center"/>
              <w:rPr>
                <w:rFonts w:eastAsia="Calibri" w:cs="Times New Roman"/>
                <w:color w:val="000000"/>
                <w:sz w:val="26"/>
                <w:szCs w:val="26"/>
              </w:rPr>
            </w:pPr>
            <w:r w:rsidRPr="00BA0C50">
              <w:rPr>
                <w:rFonts w:eastAsia="Calibri" w:cs="Times New Roman"/>
                <w:color w:val="000000"/>
                <w:sz w:val="26"/>
                <w:szCs w:val="26"/>
              </w:rPr>
              <w:t>Tấn</w:t>
            </w:r>
          </w:p>
        </w:tc>
        <w:tc>
          <w:tcPr>
            <w:tcW w:w="863" w:type="dxa"/>
            <w:tcBorders>
              <w:top w:val="nil"/>
              <w:left w:val="nil"/>
              <w:bottom w:val="single" w:sz="4" w:space="0" w:color="auto"/>
              <w:right w:val="single" w:sz="4" w:space="0" w:color="auto"/>
            </w:tcBorders>
            <w:shd w:val="clear" w:color="auto" w:fill="auto"/>
            <w:noWrap/>
            <w:vAlign w:val="center"/>
            <w:hideMark/>
          </w:tcPr>
          <w:p w14:paraId="6CD670A7" w14:textId="77777777" w:rsidR="006409AD" w:rsidRPr="00BA0C50" w:rsidRDefault="006409AD" w:rsidP="00BA18B8">
            <w:pPr>
              <w:spacing w:before="120" w:after="0" w:line="360" w:lineRule="atLeast"/>
              <w:jc w:val="right"/>
              <w:rPr>
                <w:rFonts w:eastAsia="Calibri" w:cs="Times New Roman"/>
                <w:color w:val="000000"/>
                <w:sz w:val="26"/>
                <w:szCs w:val="26"/>
              </w:rPr>
            </w:pPr>
            <w:r w:rsidRPr="00BA0C50">
              <w:rPr>
                <w:rFonts w:eastAsia="Calibri" w:cs="Times New Roman"/>
                <w:color w:val="000000"/>
                <w:sz w:val="26"/>
                <w:szCs w:val="26"/>
              </w:rPr>
              <w:t>1</w:t>
            </w:r>
          </w:p>
        </w:tc>
        <w:tc>
          <w:tcPr>
            <w:tcW w:w="1559" w:type="dxa"/>
            <w:tcBorders>
              <w:top w:val="nil"/>
              <w:left w:val="nil"/>
              <w:bottom w:val="single" w:sz="4" w:space="0" w:color="auto"/>
              <w:right w:val="single" w:sz="4" w:space="0" w:color="auto"/>
            </w:tcBorders>
            <w:shd w:val="clear" w:color="auto" w:fill="auto"/>
            <w:noWrap/>
            <w:vAlign w:val="center"/>
            <w:hideMark/>
          </w:tcPr>
          <w:p w14:paraId="79AC9FB7" w14:textId="77777777" w:rsidR="006409AD" w:rsidRPr="00BA0C50" w:rsidRDefault="006409AD" w:rsidP="00BA18B8">
            <w:pPr>
              <w:spacing w:before="120" w:after="0" w:line="360" w:lineRule="atLeast"/>
              <w:jc w:val="right"/>
              <w:rPr>
                <w:rFonts w:eastAsia="Calibri" w:cs="Times New Roman"/>
                <w:color w:val="000000"/>
                <w:sz w:val="26"/>
                <w:szCs w:val="26"/>
              </w:rPr>
            </w:pPr>
            <w:r w:rsidRPr="00BA0C50">
              <w:rPr>
                <w:rFonts w:eastAsia="Calibri" w:cs="Times New Roman"/>
                <w:color w:val="000000"/>
                <w:sz w:val="26"/>
                <w:szCs w:val="26"/>
              </w:rPr>
              <w:t>500.000</w:t>
            </w:r>
          </w:p>
        </w:tc>
        <w:tc>
          <w:tcPr>
            <w:tcW w:w="1276" w:type="dxa"/>
            <w:tcBorders>
              <w:top w:val="nil"/>
              <w:left w:val="nil"/>
              <w:bottom w:val="single" w:sz="4" w:space="0" w:color="auto"/>
              <w:right w:val="single" w:sz="4" w:space="0" w:color="auto"/>
            </w:tcBorders>
            <w:shd w:val="clear" w:color="auto" w:fill="auto"/>
            <w:noWrap/>
            <w:vAlign w:val="center"/>
            <w:hideMark/>
          </w:tcPr>
          <w:p w14:paraId="6E7822CB" w14:textId="77777777" w:rsidR="006409AD" w:rsidRPr="00BA0C50" w:rsidRDefault="006409AD" w:rsidP="00BA18B8">
            <w:pPr>
              <w:spacing w:before="120" w:after="0" w:line="360" w:lineRule="atLeast"/>
              <w:jc w:val="right"/>
              <w:rPr>
                <w:rFonts w:eastAsia="Calibri" w:cs="Times New Roman"/>
                <w:color w:val="000000"/>
                <w:sz w:val="26"/>
                <w:szCs w:val="26"/>
              </w:rPr>
            </w:pPr>
            <w:r w:rsidRPr="00BA0C50">
              <w:rPr>
                <w:rFonts w:eastAsia="Calibri" w:cs="Times New Roman"/>
                <w:color w:val="000000"/>
                <w:sz w:val="26"/>
                <w:szCs w:val="26"/>
              </w:rPr>
              <w:t>500.000</w:t>
            </w:r>
          </w:p>
        </w:tc>
        <w:tc>
          <w:tcPr>
            <w:tcW w:w="1134" w:type="dxa"/>
            <w:tcBorders>
              <w:top w:val="nil"/>
              <w:left w:val="nil"/>
              <w:bottom w:val="single" w:sz="4" w:space="0" w:color="auto"/>
              <w:right w:val="single" w:sz="4" w:space="0" w:color="auto"/>
            </w:tcBorders>
            <w:shd w:val="clear" w:color="auto" w:fill="auto"/>
            <w:noWrap/>
            <w:vAlign w:val="center"/>
            <w:hideMark/>
          </w:tcPr>
          <w:p w14:paraId="11DBB491" w14:textId="77777777" w:rsidR="006409AD" w:rsidRPr="00BA0C50" w:rsidRDefault="006409AD" w:rsidP="00BA18B8">
            <w:pPr>
              <w:spacing w:before="120" w:after="0" w:line="360" w:lineRule="atLeast"/>
              <w:rPr>
                <w:rFonts w:eastAsia="Calibri" w:cs="Times New Roman"/>
                <w:color w:val="000000"/>
                <w:sz w:val="26"/>
                <w:szCs w:val="26"/>
              </w:rPr>
            </w:pPr>
            <w:r w:rsidRPr="00BA0C50">
              <w:rPr>
                <w:rFonts w:eastAsia="Calibri" w:cs="Times New Roman"/>
                <w:color w:val="000000"/>
                <w:sz w:val="26"/>
                <w:szCs w:val="26"/>
              </w:rPr>
              <w:t>TB 500 đồng/kg</w:t>
            </w:r>
          </w:p>
        </w:tc>
      </w:tr>
    </w:tbl>
    <w:p w14:paraId="1C0748E8" w14:textId="77777777" w:rsidR="006409AD" w:rsidRPr="00BA0C50" w:rsidRDefault="006409AD" w:rsidP="006409AD">
      <w:pPr>
        <w:spacing w:before="120" w:after="0" w:line="360" w:lineRule="atLeast"/>
        <w:ind w:firstLine="720"/>
        <w:jc w:val="both"/>
        <w:rPr>
          <w:rFonts w:eastAsia="Calibri" w:cs="Times New Roman"/>
          <w:color w:val="000000"/>
          <w:szCs w:val="28"/>
        </w:rPr>
      </w:pPr>
      <w:r w:rsidRPr="00BA0C50">
        <w:rPr>
          <w:rFonts w:eastAsia="Calibri" w:cs="Times New Roman"/>
          <w:b/>
          <w:bCs/>
          <w:color w:val="000000"/>
          <w:szCs w:val="28"/>
        </w:rPr>
        <w:t xml:space="preserve">Ghi chú: </w:t>
      </w:r>
      <w:r w:rsidRPr="00BA0C50">
        <w:rPr>
          <w:rFonts w:eastAsia="Calibri" w:cs="Times New Roman"/>
          <w:color w:val="000000"/>
          <w:szCs w:val="28"/>
        </w:rPr>
        <w:t>Xác định tỷ lệ thiệt hại dựa trên giá thịt hơi các loại vật nuôi thương phẩm bán trên địa bàn tỉnh trong 12 tháng).</w:t>
      </w:r>
    </w:p>
    <w:p w14:paraId="5E84AC32" w14:textId="77777777" w:rsidR="006409AD" w:rsidRPr="0079435E" w:rsidRDefault="006409AD" w:rsidP="006409AD">
      <w:pPr>
        <w:spacing w:before="120" w:after="0" w:line="360" w:lineRule="atLeast"/>
        <w:ind w:firstLine="709"/>
        <w:jc w:val="both"/>
        <w:rPr>
          <w:rFonts w:eastAsia="Times New Roman" w:cs="Times New Roman"/>
          <w:bCs/>
          <w:szCs w:val="28"/>
        </w:rPr>
      </w:pPr>
      <w:r w:rsidRPr="00FB30A5">
        <w:rPr>
          <w:rFonts w:eastAsia="Times New Roman" w:cs="Times New Roman"/>
          <w:b/>
          <w:i/>
          <w:color w:val="FF0000"/>
          <w:szCs w:val="28"/>
        </w:rPr>
        <w:t>c</w:t>
      </w:r>
      <w:r w:rsidRPr="0079435E">
        <w:rPr>
          <w:rFonts w:eastAsia="Times New Roman" w:cs="Times New Roman"/>
          <w:b/>
          <w:i/>
          <w:szCs w:val="28"/>
        </w:rPr>
        <w:t>) Đơn giá cước vận chuyển:</w:t>
      </w:r>
      <w:r w:rsidRPr="0079435E">
        <w:rPr>
          <w:rFonts w:eastAsia="Times New Roman" w:cs="Times New Roman"/>
          <w:b/>
          <w:szCs w:val="28"/>
        </w:rPr>
        <w:t xml:space="preserve"> </w:t>
      </w:r>
      <w:r w:rsidRPr="0079435E">
        <w:rPr>
          <w:rFonts w:eastAsia="Times New Roman" w:cs="Times New Roman"/>
          <w:bCs/>
          <w:szCs w:val="28"/>
        </w:rPr>
        <w:t>tính theo đơn giá thực tế cước vận chuyển hàng hoá, công bố  tại thời điểm thu hồi đất.</w:t>
      </w:r>
    </w:p>
    <w:p w14:paraId="27E4F501" w14:textId="77777777" w:rsidR="006409AD" w:rsidRPr="006409AD" w:rsidRDefault="006409AD" w:rsidP="006409AD">
      <w:pPr>
        <w:spacing w:before="120"/>
        <w:ind w:firstLine="720"/>
        <w:jc w:val="both"/>
        <w:rPr>
          <w:rFonts w:eastAsia="Times New Roman"/>
          <w:i/>
          <w:color w:val="FF0000"/>
          <w:lang w:eastAsia="vi-VN"/>
        </w:rPr>
      </w:pPr>
    </w:p>
    <w:sectPr w:rsidR="006409AD" w:rsidRPr="006409AD" w:rsidSect="00B46A54">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C636BD" w14:textId="77777777" w:rsidR="00D3250E" w:rsidRDefault="00D3250E" w:rsidP="00B46A54">
      <w:pPr>
        <w:spacing w:after="0" w:line="240" w:lineRule="auto"/>
      </w:pPr>
      <w:r>
        <w:separator/>
      </w:r>
    </w:p>
  </w:endnote>
  <w:endnote w:type="continuationSeparator" w:id="0">
    <w:p w14:paraId="4AB1E082" w14:textId="77777777" w:rsidR="00D3250E" w:rsidRDefault="00D3250E" w:rsidP="00B46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BFA5A8" w14:textId="77777777" w:rsidR="00D3250E" w:rsidRDefault="00D3250E" w:rsidP="00B46A54">
      <w:pPr>
        <w:spacing w:after="0" w:line="240" w:lineRule="auto"/>
      </w:pPr>
      <w:r>
        <w:separator/>
      </w:r>
    </w:p>
  </w:footnote>
  <w:footnote w:type="continuationSeparator" w:id="0">
    <w:p w14:paraId="2FB5C5F8" w14:textId="77777777" w:rsidR="00D3250E" w:rsidRDefault="00D3250E" w:rsidP="00B46A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5911498"/>
      <w:docPartObj>
        <w:docPartGallery w:val="Page Numbers (Top of Page)"/>
        <w:docPartUnique/>
      </w:docPartObj>
    </w:sdtPr>
    <w:sdtEndPr>
      <w:rPr>
        <w:noProof/>
      </w:rPr>
    </w:sdtEndPr>
    <w:sdtContent>
      <w:p w14:paraId="27147FDA" w14:textId="4B78923D" w:rsidR="00B46A54" w:rsidRDefault="00B46A54">
        <w:pPr>
          <w:pStyle w:val="Header"/>
          <w:jc w:val="center"/>
        </w:pPr>
        <w:r>
          <w:fldChar w:fldCharType="begin"/>
        </w:r>
        <w:r>
          <w:instrText xml:space="preserve"> PAGE   \* MERGEFORMAT </w:instrText>
        </w:r>
        <w:r>
          <w:fldChar w:fldCharType="separate"/>
        </w:r>
        <w:r w:rsidR="00B87D66">
          <w:rPr>
            <w:noProof/>
          </w:rPr>
          <w:t>5</w:t>
        </w:r>
        <w:r>
          <w:rPr>
            <w:noProof/>
          </w:rPr>
          <w:fldChar w:fldCharType="end"/>
        </w:r>
      </w:p>
    </w:sdtContent>
  </w:sdt>
  <w:p w14:paraId="08F506EA" w14:textId="77777777" w:rsidR="00B46A54" w:rsidRDefault="00B46A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C0E"/>
    <w:rsid w:val="000323C0"/>
    <w:rsid w:val="00060A64"/>
    <w:rsid w:val="000622EE"/>
    <w:rsid w:val="00090077"/>
    <w:rsid w:val="000F6B38"/>
    <w:rsid w:val="00100E17"/>
    <w:rsid w:val="00151993"/>
    <w:rsid w:val="001972F5"/>
    <w:rsid w:val="001B2114"/>
    <w:rsid w:val="001C2B44"/>
    <w:rsid w:val="001F252E"/>
    <w:rsid w:val="00216C87"/>
    <w:rsid w:val="00277C41"/>
    <w:rsid w:val="00297F69"/>
    <w:rsid w:val="002D0F29"/>
    <w:rsid w:val="002D49E3"/>
    <w:rsid w:val="002F6C14"/>
    <w:rsid w:val="00345546"/>
    <w:rsid w:val="003A068C"/>
    <w:rsid w:val="003B1A7D"/>
    <w:rsid w:val="003B46EA"/>
    <w:rsid w:val="003C3918"/>
    <w:rsid w:val="003F4B9F"/>
    <w:rsid w:val="00460E4A"/>
    <w:rsid w:val="00471289"/>
    <w:rsid w:val="004878EE"/>
    <w:rsid w:val="004E16F5"/>
    <w:rsid w:val="005059BB"/>
    <w:rsid w:val="00521801"/>
    <w:rsid w:val="0056384F"/>
    <w:rsid w:val="005A2352"/>
    <w:rsid w:val="005B0C7B"/>
    <w:rsid w:val="005D1E11"/>
    <w:rsid w:val="005E6C50"/>
    <w:rsid w:val="005F53C3"/>
    <w:rsid w:val="006409AD"/>
    <w:rsid w:val="00641A18"/>
    <w:rsid w:val="006633E3"/>
    <w:rsid w:val="00682164"/>
    <w:rsid w:val="006C50E3"/>
    <w:rsid w:val="006E6B6C"/>
    <w:rsid w:val="006F30C4"/>
    <w:rsid w:val="00706D11"/>
    <w:rsid w:val="00715227"/>
    <w:rsid w:val="00715BF9"/>
    <w:rsid w:val="00764861"/>
    <w:rsid w:val="00772AB0"/>
    <w:rsid w:val="0079435E"/>
    <w:rsid w:val="007C4938"/>
    <w:rsid w:val="007F1AA9"/>
    <w:rsid w:val="008442EF"/>
    <w:rsid w:val="00866FF4"/>
    <w:rsid w:val="008827D8"/>
    <w:rsid w:val="00886C0A"/>
    <w:rsid w:val="008C2C4D"/>
    <w:rsid w:val="008E7007"/>
    <w:rsid w:val="008F6C0E"/>
    <w:rsid w:val="00904AAC"/>
    <w:rsid w:val="009126B2"/>
    <w:rsid w:val="0092112B"/>
    <w:rsid w:val="00946E39"/>
    <w:rsid w:val="00974F54"/>
    <w:rsid w:val="009E0B45"/>
    <w:rsid w:val="00A11D34"/>
    <w:rsid w:val="00A13279"/>
    <w:rsid w:val="00A2698E"/>
    <w:rsid w:val="00A312F0"/>
    <w:rsid w:val="00A7413F"/>
    <w:rsid w:val="00AA6965"/>
    <w:rsid w:val="00AC4A41"/>
    <w:rsid w:val="00B03773"/>
    <w:rsid w:val="00B22BCE"/>
    <w:rsid w:val="00B42846"/>
    <w:rsid w:val="00B46A54"/>
    <w:rsid w:val="00B51FBE"/>
    <w:rsid w:val="00B6281B"/>
    <w:rsid w:val="00B72B90"/>
    <w:rsid w:val="00B8725A"/>
    <w:rsid w:val="00B87D66"/>
    <w:rsid w:val="00BA0C50"/>
    <w:rsid w:val="00BE0D0E"/>
    <w:rsid w:val="00BF6D2A"/>
    <w:rsid w:val="00BF77E5"/>
    <w:rsid w:val="00C07E45"/>
    <w:rsid w:val="00CA41D9"/>
    <w:rsid w:val="00CA453C"/>
    <w:rsid w:val="00CC133B"/>
    <w:rsid w:val="00D1173B"/>
    <w:rsid w:val="00D3250E"/>
    <w:rsid w:val="00D34A57"/>
    <w:rsid w:val="00D366B3"/>
    <w:rsid w:val="00D40AB3"/>
    <w:rsid w:val="00D73047"/>
    <w:rsid w:val="00DD76E5"/>
    <w:rsid w:val="00E15950"/>
    <w:rsid w:val="00E45FDB"/>
    <w:rsid w:val="00E641B4"/>
    <w:rsid w:val="00ED3FB6"/>
    <w:rsid w:val="00F116DB"/>
    <w:rsid w:val="00F164FF"/>
    <w:rsid w:val="00F34984"/>
    <w:rsid w:val="00F712A0"/>
    <w:rsid w:val="00FD4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F4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5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52E"/>
    <w:rPr>
      <w:rFonts w:ascii="Tahoma" w:hAnsi="Tahoma" w:cs="Tahoma"/>
      <w:sz w:val="16"/>
      <w:szCs w:val="16"/>
    </w:rPr>
  </w:style>
  <w:style w:type="table" w:styleId="TableGrid">
    <w:name w:val="Table Grid"/>
    <w:basedOn w:val="TableNormal"/>
    <w:uiPriority w:val="59"/>
    <w:rsid w:val="001F25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4A57"/>
    <w:pPr>
      <w:ind w:left="720"/>
      <w:contextualSpacing/>
    </w:pPr>
  </w:style>
  <w:style w:type="table" w:customStyle="1" w:styleId="TableGrid1">
    <w:name w:val="Table Grid1"/>
    <w:basedOn w:val="TableNormal"/>
    <w:next w:val="TableGrid"/>
    <w:uiPriority w:val="39"/>
    <w:rsid w:val="000622EE"/>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BA0C50"/>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46A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A54"/>
  </w:style>
  <w:style w:type="paragraph" w:styleId="Footer">
    <w:name w:val="footer"/>
    <w:basedOn w:val="Normal"/>
    <w:link w:val="FooterChar"/>
    <w:uiPriority w:val="99"/>
    <w:unhideWhenUsed/>
    <w:rsid w:val="00B46A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A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5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52E"/>
    <w:rPr>
      <w:rFonts w:ascii="Tahoma" w:hAnsi="Tahoma" w:cs="Tahoma"/>
      <w:sz w:val="16"/>
      <w:szCs w:val="16"/>
    </w:rPr>
  </w:style>
  <w:style w:type="table" w:styleId="TableGrid">
    <w:name w:val="Table Grid"/>
    <w:basedOn w:val="TableNormal"/>
    <w:uiPriority w:val="59"/>
    <w:rsid w:val="001F25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4A57"/>
    <w:pPr>
      <w:ind w:left="720"/>
      <w:contextualSpacing/>
    </w:pPr>
  </w:style>
  <w:style w:type="table" w:customStyle="1" w:styleId="TableGrid1">
    <w:name w:val="Table Grid1"/>
    <w:basedOn w:val="TableNormal"/>
    <w:next w:val="TableGrid"/>
    <w:uiPriority w:val="39"/>
    <w:rsid w:val="000622EE"/>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BA0C50"/>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46A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A54"/>
  </w:style>
  <w:style w:type="paragraph" w:styleId="Footer">
    <w:name w:val="footer"/>
    <w:basedOn w:val="Normal"/>
    <w:link w:val="FooterChar"/>
    <w:uiPriority w:val="99"/>
    <w:unhideWhenUsed/>
    <w:rsid w:val="00B46A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A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4F940-31D9-40B8-BF71-DF93005CE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2004</Words>
  <Characters>11423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SHARP - LC</cp:lastModifiedBy>
  <cp:revision>9</cp:revision>
  <cp:lastPrinted>2024-07-23T06:41:00Z</cp:lastPrinted>
  <dcterms:created xsi:type="dcterms:W3CDTF">2024-07-26T08:51:00Z</dcterms:created>
  <dcterms:modified xsi:type="dcterms:W3CDTF">2024-07-26T10:12:00Z</dcterms:modified>
</cp:coreProperties>
</file>