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076" w:rsidRPr="00560076" w:rsidRDefault="00560076" w:rsidP="00560076">
      <w:pPr>
        <w:spacing w:after="0" w:line="240" w:lineRule="auto"/>
        <w:jc w:val="center"/>
        <w:rPr>
          <w:rFonts w:eastAsia="Times New Roman" w:cs="Times New Roman"/>
          <w:b/>
          <w:szCs w:val="28"/>
        </w:rPr>
      </w:pPr>
      <w:r w:rsidRPr="00560076">
        <w:rPr>
          <w:rFonts w:eastAsia="Times New Roman" w:cs="Times New Roman"/>
          <w:b/>
          <w:szCs w:val="28"/>
        </w:rPr>
        <w:t xml:space="preserve">Phụ lục </w:t>
      </w:r>
      <w:r>
        <w:rPr>
          <w:rFonts w:eastAsia="Times New Roman" w:cs="Times New Roman"/>
          <w:b/>
          <w:szCs w:val="28"/>
        </w:rPr>
        <w:t>II</w:t>
      </w:r>
      <w:bookmarkStart w:id="0" w:name="_GoBack"/>
      <w:bookmarkEnd w:id="0"/>
    </w:p>
    <w:p w:rsidR="00560076" w:rsidRPr="00560076" w:rsidRDefault="00560076" w:rsidP="00560076">
      <w:pPr>
        <w:spacing w:after="0" w:line="240" w:lineRule="auto"/>
        <w:jc w:val="center"/>
        <w:rPr>
          <w:rFonts w:eastAsia="Times New Roman" w:cs="Times New Roman"/>
          <w:b/>
          <w:szCs w:val="28"/>
        </w:rPr>
      </w:pPr>
      <w:r w:rsidRPr="00560076">
        <w:rPr>
          <w:rFonts w:eastAsia="Times New Roman" w:cs="Times New Roman"/>
          <w:b/>
          <w:szCs w:val="28"/>
        </w:rPr>
        <w:t>ĐƠN GIÁ BỒI THƯỜNG CÂY TRỒNG LÂM NGHIỆP</w:t>
      </w:r>
    </w:p>
    <w:p w:rsidR="00560076" w:rsidRPr="00560076" w:rsidRDefault="00560076" w:rsidP="00560076">
      <w:pPr>
        <w:spacing w:after="0" w:line="240" w:lineRule="auto"/>
        <w:jc w:val="center"/>
        <w:rPr>
          <w:rFonts w:eastAsia="Times New Roman" w:cs="Times New Roman"/>
          <w:bCs/>
          <w:i/>
          <w:iCs/>
          <w:szCs w:val="28"/>
        </w:rPr>
      </w:pPr>
      <w:r w:rsidRPr="00560076">
        <w:rPr>
          <w:rFonts w:eastAsia="Times New Roman" w:cs="Times New Roman"/>
          <w:bCs/>
          <w:i/>
          <w:iCs/>
          <w:szCs w:val="28"/>
        </w:rPr>
        <w:t xml:space="preserve">(Kèm theo Quyết định số: ... /2024/QĐ-UBND ngày ... tháng ... năm 2024 </w:t>
      </w:r>
    </w:p>
    <w:p w:rsidR="00560076" w:rsidRPr="00560076" w:rsidRDefault="00560076" w:rsidP="00560076">
      <w:pPr>
        <w:spacing w:after="0" w:line="240" w:lineRule="auto"/>
        <w:jc w:val="center"/>
        <w:rPr>
          <w:rFonts w:eastAsia="Times New Roman" w:cs="Times New Roman"/>
          <w:bCs/>
          <w:i/>
          <w:iCs/>
          <w:szCs w:val="28"/>
        </w:rPr>
      </w:pPr>
      <w:r w:rsidRPr="00560076">
        <w:rPr>
          <w:rFonts w:eastAsia="Times New Roman" w:cs="Times New Roman"/>
          <w:bCs/>
          <w:i/>
          <w:iCs/>
          <w:szCs w:val="28"/>
        </w:rPr>
        <w:t>của Ủy ban nhân dân tỉnh Lai Châu)</w:t>
      </w:r>
    </w:p>
    <w:p w:rsidR="00560076" w:rsidRPr="00560076" w:rsidRDefault="00560076" w:rsidP="00560076">
      <w:pPr>
        <w:spacing w:after="0" w:line="240" w:lineRule="auto"/>
        <w:jc w:val="center"/>
        <w:rPr>
          <w:rFonts w:eastAsia="Times New Roman" w:cs="Times New Roman"/>
          <w:bCs/>
          <w:i/>
          <w:iCs/>
          <w:szCs w:val="28"/>
        </w:rPr>
      </w:pPr>
      <w:r w:rsidRPr="00560076">
        <w:rPr>
          <w:rFonts w:eastAsia="Times New Roman" w:cs="Times New Roman"/>
          <w:bCs/>
          <w:i/>
          <w:iCs/>
          <w:noProof/>
          <w:szCs w:val="28"/>
        </w:rPr>
        <mc:AlternateContent>
          <mc:Choice Requires="wps">
            <w:drawing>
              <wp:anchor distT="0" distB="0" distL="114300" distR="114300" simplePos="0" relativeHeight="251659264" behindDoc="0" locked="0" layoutInCell="1" allowOverlap="1" wp14:anchorId="11C0D3F7" wp14:editId="2D907656">
                <wp:simplePos x="0" y="0"/>
                <wp:positionH relativeFrom="margin">
                  <wp:posOffset>2181860</wp:posOffset>
                </wp:positionH>
                <wp:positionV relativeFrom="paragraph">
                  <wp:posOffset>31379</wp:posOffset>
                </wp:positionV>
                <wp:extent cx="1397480" cy="0"/>
                <wp:effectExtent l="0" t="0" r="0" b="0"/>
                <wp:wrapNone/>
                <wp:docPr id="1851945366" name="Straight Connector 4"/>
                <wp:cNvGraphicFramePr/>
                <a:graphic xmlns:a="http://schemas.openxmlformats.org/drawingml/2006/main">
                  <a:graphicData uri="http://schemas.microsoft.com/office/word/2010/wordprocessingShape">
                    <wps:wsp>
                      <wps:cNvCnPr/>
                      <wps:spPr>
                        <a:xfrm>
                          <a:off x="0" y="0"/>
                          <a:ext cx="139748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margin;mso-position-vertical:absolute;mso-position-vertical-relative:text" from="171.8pt,2.45pt" to="281.8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" strokecolor="#4a7ebb">
                <w10:wrap anchorx="margin"/>
              </v:line>
            </w:pict>
          </mc:Fallback>
        </mc:AlternateContent>
      </w:r>
    </w:p>
    <w:p w:rsidR="00560076" w:rsidRPr="00560076" w:rsidRDefault="00560076" w:rsidP="00560076">
      <w:pPr>
        <w:tabs>
          <w:tab w:val="left" w:pos="1302"/>
        </w:tabs>
        <w:spacing w:after="0" w:line="240" w:lineRule="auto"/>
        <w:rPr>
          <w:rFonts w:eastAsia="Times New Roman" w:cs="Times New Roman"/>
          <w:sz w:val="34"/>
          <w:szCs w:val="34"/>
        </w:rPr>
      </w:pPr>
      <w:r w:rsidRPr="00560076">
        <w:rPr>
          <w:rFonts w:eastAsia="Times New Roman" w:cs="Times New Roman"/>
          <w:szCs w:val="28"/>
        </w:rPr>
        <w:tab/>
      </w:r>
    </w:p>
    <w:tbl>
      <w:tblPr>
        <w:tblStyle w:val="TableGrid"/>
        <w:tblW w:w="5000" w:type="pct"/>
        <w:shd w:val="clear" w:color="auto" w:fill="DBE5F1" w:themeFill="accent1" w:themeFillTint="33"/>
        <w:tblLook w:val="04A0" w:firstRow="1" w:lastRow="0" w:firstColumn="1" w:lastColumn="0" w:noHBand="0" w:noVBand="1"/>
      </w:tblPr>
      <w:tblGrid>
        <w:gridCol w:w="672"/>
        <w:gridCol w:w="5530"/>
        <w:gridCol w:w="1559"/>
        <w:gridCol w:w="1527"/>
      </w:tblGrid>
      <w:tr w:rsidR="00560076" w:rsidRPr="00560076" w:rsidTr="00BA18B8">
        <w:trPr>
          <w:tblHeader/>
        </w:trPr>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TT</w:t>
            </w:r>
          </w:p>
        </w:tc>
        <w:tc>
          <w:tcPr>
            <w:tcW w:w="2977" w:type="pct"/>
            <w:shd w:val="clear" w:color="auto" w:fill="DBE5F1" w:themeFill="accent1" w:themeFillTint="33"/>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LOÀI CÂY TRỒNG</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ĐVT</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ĐƠN GIÁ</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I</w:t>
            </w:r>
          </w:p>
        </w:tc>
        <w:tc>
          <w:tcPr>
            <w:tcW w:w="2977" w:type="pct"/>
            <w:shd w:val="clear" w:color="auto" w:fill="DBE5F1" w:themeFill="accent1" w:themeFillTint="33"/>
          </w:tcPr>
          <w:p w:rsidR="00560076" w:rsidRPr="00560076" w:rsidRDefault="00560076" w:rsidP="00560076">
            <w:pPr>
              <w:tabs>
                <w:tab w:val="left" w:pos="1302"/>
              </w:tabs>
              <w:spacing w:before="60" w:after="60"/>
              <w:jc w:val="both"/>
              <w:rPr>
                <w:rFonts w:eastAsia="Times New Roman" w:cs="Times New Roman"/>
                <w:b/>
                <w:bCs/>
                <w:szCs w:val="28"/>
              </w:rPr>
            </w:pPr>
            <w:r w:rsidRPr="00560076">
              <w:rPr>
                <w:rFonts w:eastAsia="Times New Roman" w:cs="Times New Roman"/>
                <w:b/>
                <w:bCs/>
                <w:szCs w:val="28"/>
              </w:rPr>
              <w:t>CÂY RỪNG TRỒNG</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b/>
                <w:bCs/>
                <w:szCs w:val="28"/>
              </w:rPr>
            </w:pP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A</w:t>
            </w:r>
          </w:p>
        </w:tc>
        <w:tc>
          <w:tcPr>
            <w:tcW w:w="2977" w:type="pct"/>
            <w:shd w:val="clear" w:color="auto" w:fill="DBE5F1" w:themeFill="accent1" w:themeFillTint="33"/>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Cây giống ươm bầu chưa đủ tiêu chuẩn xuất vườn nhưng có thể di chuyển đến địa điểm khác thì được bồi thường chi phí di chuyển và thiệt hại thực tế do phải di chuyển</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B</w:t>
            </w:r>
          </w:p>
        </w:tc>
        <w:tc>
          <w:tcPr>
            <w:tcW w:w="2977" w:type="pct"/>
            <w:shd w:val="clear" w:color="auto" w:fill="DBE5F1" w:themeFill="accent1" w:themeFillTint="33"/>
          </w:tcPr>
          <w:p w:rsidR="00560076" w:rsidRPr="00560076" w:rsidRDefault="00560076" w:rsidP="00560076">
            <w:pPr>
              <w:tabs>
                <w:tab w:val="left" w:pos="1302"/>
              </w:tabs>
              <w:spacing w:before="60" w:after="60"/>
              <w:jc w:val="both"/>
              <w:rPr>
                <w:rFonts w:eastAsia="Times New Roman" w:cs="Times New Roman"/>
                <w:b/>
                <w:bCs/>
                <w:szCs w:val="28"/>
              </w:rPr>
            </w:pPr>
            <w:r w:rsidRPr="00560076">
              <w:rPr>
                <w:rFonts w:eastAsia="Times New Roman" w:cs="Times New Roman"/>
                <w:b/>
                <w:bCs/>
                <w:szCs w:val="28"/>
              </w:rPr>
              <w:t>Bồi thường theo giá trị đầu tư</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b/>
                <w:bCs/>
                <w:szCs w:val="28"/>
              </w:rPr>
            </w:pP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1</w:t>
            </w: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b/>
                <w:bCs/>
                <w:szCs w:val="28"/>
              </w:rPr>
            </w:pPr>
            <w:r w:rsidRPr="00560076">
              <w:rPr>
                <w:rFonts w:eastAsia="Times New Roman" w:cs="Times New Roman"/>
                <w:b/>
                <w:bCs/>
                <w:szCs w:val="28"/>
              </w:rPr>
              <w:t>Cây lấy gỗ thuộc Nhóm quý hiếm, nhóm I (Bách xanh, Gù hương, Lát hoa, Lim xanh, Muồng đen, Sưa...)</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b/>
                <w:bCs/>
                <w:szCs w:val="28"/>
              </w:rPr>
            </w:pP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Năm 1</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70.000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Năm 2</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91.000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Năm 3</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109.000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Từ năm thứ 4 trở đi</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123.000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2</w:t>
            </w: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b/>
                <w:bCs/>
                <w:szCs w:val="28"/>
              </w:rPr>
            </w:pPr>
            <w:r w:rsidRPr="00560076">
              <w:rPr>
                <w:rFonts w:eastAsia="Times New Roman" w:cs="Times New Roman"/>
                <w:b/>
                <w:bCs/>
                <w:szCs w:val="28"/>
              </w:rPr>
              <w:t>Cây lấy gỗ thuộc Nhóm II, nhóm III (Thông ba lá, Thông đuôi ngựa, Thông nhựa, Giổi xanh, Long não, Tếch, Xoan đào...)</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Năm 1</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42.000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Năm 2</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58.000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Năm 3</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73.000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Từ năm thứ 4 trở đi</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84.000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3</w:t>
            </w: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b/>
                <w:bCs/>
                <w:szCs w:val="28"/>
              </w:rPr>
            </w:pPr>
            <w:r w:rsidRPr="00560076">
              <w:rPr>
                <w:rFonts w:eastAsia="Times New Roman" w:cs="Times New Roman"/>
                <w:b/>
                <w:bCs/>
                <w:szCs w:val="28"/>
              </w:rPr>
              <w:t>Cây lấy lỗ thuộc từ Nhóm IV trở lên (Các loài Bạch đàn, Các loài Keo, Bồ đề, Hông, Mỡ, Re gừng, Sa mộc, Sấu, Tống quá sủ, Trám đen, Trám trắng, Trẩu, Vối thuốc, Xoan ta,...)</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Năm 1</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38.000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Năm 2</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53.000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Năm 3</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68.000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szCs w:val="28"/>
              </w:rPr>
              <w:t>Từ năm thứ 4 trở đi</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szCs w:val="28"/>
              </w:rPr>
              <w:t>đồng/cây</w:t>
            </w: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right"/>
              <w:rPr>
                <w:rFonts w:eastAsia="Times New Roman" w:cs="Times New Roman"/>
                <w:szCs w:val="28"/>
              </w:rPr>
            </w:pPr>
            <w:r w:rsidRPr="00560076">
              <w:rPr>
                <w:rFonts w:eastAsia="Times New Roman" w:cs="Times New Roman"/>
                <w:szCs w:val="28"/>
              </w:rPr>
              <w:t>78.000</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r w:rsidRPr="00560076">
              <w:rPr>
                <w:rFonts w:eastAsia="Times New Roman" w:cs="Times New Roman"/>
                <w:b/>
                <w:bCs/>
                <w:szCs w:val="28"/>
              </w:rPr>
              <w:lastRenderedPageBreak/>
              <w:t>C</w:t>
            </w: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szCs w:val="28"/>
              </w:rPr>
            </w:pPr>
            <w:r w:rsidRPr="00560076">
              <w:rPr>
                <w:rFonts w:eastAsia="Times New Roman" w:cs="Times New Roman"/>
                <w:b/>
                <w:bCs/>
                <w:szCs w:val="28"/>
              </w:rPr>
              <w:t>Bồi thường theo giá trị cây gỗ</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p>
        </w:tc>
        <w:tc>
          <w:tcPr>
            <w:tcW w:w="4638" w:type="pct"/>
            <w:gridSpan w:val="3"/>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i/>
                <w:iCs/>
                <w:szCs w:val="28"/>
              </w:rPr>
            </w:pPr>
            <w:r w:rsidRPr="00560076">
              <w:rPr>
                <w:rFonts w:eastAsia="Times New Roman" w:cs="Times New Roman"/>
                <w:i/>
                <w:iCs/>
                <w:szCs w:val="28"/>
              </w:rPr>
              <w:t>- Đối với cây gỗ có chu vi (vanh) ở vị trí 1,3m của cây tính từ gốc (sát mặt đất) ≥ 19cm (0,19m) thì bồi thường theo giá trị gỗ cây đứng thực tế tại thời điểm bồi thường. Trường hợp giá trị gỗ cây đứng nhỏ hơn giá trị đầu tư thì bồi thường theo giá trị đầu tư.</w:t>
            </w:r>
          </w:p>
          <w:p w:rsidR="00560076" w:rsidRPr="00560076" w:rsidRDefault="00560076" w:rsidP="00560076">
            <w:pPr>
              <w:tabs>
                <w:tab w:val="left" w:pos="1302"/>
              </w:tabs>
              <w:spacing w:before="60" w:after="60"/>
              <w:jc w:val="both"/>
              <w:rPr>
                <w:rFonts w:eastAsia="Times New Roman" w:cs="Times New Roman"/>
                <w:i/>
                <w:iCs/>
                <w:szCs w:val="28"/>
              </w:rPr>
            </w:pP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r>
            <w:r w:rsidRPr="00560076">
              <w:rPr>
                <w:rFonts w:eastAsia="Times New Roman" w:cs="Times New Roman"/>
                <w:i/>
                <w:iCs/>
                <w:szCs w:val="28"/>
              </w:rPr>
              <w:softHyphen/>
              <w:t>- Giá trị gỗ cây đứng = Khối lượng gỗ cây đứng x Giá gỗ thị trường tương ứng tại thời điểm bồi thường.</w:t>
            </w:r>
          </w:p>
          <w:p w:rsidR="00560076" w:rsidRPr="00560076" w:rsidRDefault="00560076" w:rsidP="00560076">
            <w:pPr>
              <w:tabs>
                <w:tab w:val="left" w:pos="1302"/>
              </w:tabs>
              <w:spacing w:before="60" w:after="60"/>
              <w:jc w:val="both"/>
              <w:rPr>
                <w:rFonts w:eastAsia="Times New Roman" w:cs="Times New Roman"/>
                <w:i/>
                <w:iCs/>
                <w:szCs w:val="28"/>
              </w:rPr>
            </w:pPr>
            <w:r w:rsidRPr="00560076">
              <w:rPr>
                <w:rFonts w:eastAsia="Times New Roman" w:cs="Times New Roman"/>
                <w:i/>
                <w:iCs/>
                <w:szCs w:val="28"/>
              </w:rPr>
              <w:t>- Khối lượng gỗ cây đứng (m3) = Chu vi (m) x Chu vi (m) x Chiều cao vút ngọn (m) x 0,0398. Trong đó:</w:t>
            </w:r>
          </w:p>
          <w:p w:rsidR="00560076" w:rsidRPr="00560076" w:rsidRDefault="00560076" w:rsidP="00560076">
            <w:pPr>
              <w:tabs>
                <w:tab w:val="left" w:pos="1302"/>
              </w:tabs>
              <w:spacing w:before="60" w:after="60"/>
              <w:jc w:val="both"/>
              <w:rPr>
                <w:rFonts w:eastAsia="Times New Roman" w:cs="Times New Roman"/>
                <w:i/>
                <w:iCs/>
                <w:szCs w:val="28"/>
              </w:rPr>
            </w:pPr>
            <w:r w:rsidRPr="00560076">
              <w:rPr>
                <w:rFonts w:eastAsia="Times New Roman" w:cs="Times New Roman"/>
                <w:i/>
                <w:iCs/>
                <w:szCs w:val="28"/>
              </w:rPr>
              <w:t>+ Chu vi: Được đo tại vị trí 1,3m của cây.</w:t>
            </w:r>
          </w:p>
          <w:p w:rsidR="00560076" w:rsidRPr="00560076" w:rsidRDefault="00560076" w:rsidP="00560076">
            <w:pPr>
              <w:tabs>
                <w:tab w:val="left" w:pos="1302"/>
              </w:tabs>
              <w:spacing w:before="60" w:after="60"/>
              <w:jc w:val="both"/>
              <w:rPr>
                <w:rFonts w:eastAsia="Times New Roman" w:cs="Times New Roman"/>
                <w:i/>
                <w:iCs/>
                <w:szCs w:val="28"/>
              </w:rPr>
            </w:pPr>
            <w:r w:rsidRPr="00560076">
              <w:rPr>
                <w:rFonts w:eastAsia="Times New Roman" w:cs="Times New Roman"/>
                <w:i/>
                <w:iCs/>
                <w:szCs w:val="28"/>
              </w:rPr>
              <w:t>+ Chiều cao vút ngọn: Là chiều dài toàn cây đo từ gốc đến ngọn.</w:t>
            </w: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r w:rsidRPr="00560076">
              <w:rPr>
                <w:rFonts w:eastAsia="Times New Roman" w:cs="Times New Roman"/>
                <w:b/>
                <w:bCs/>
                <w:szCs w:val="28"/>
              </w:rPr>
              <w:t>II</w:t>
            </w:r>
          </w:p>
        </w:tc>
        <w:tc>
          <w:tcPr>
            <w:tcW w:w="2977" w:type="pct"/>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b/>
                <w:bCs/>
                <w:szCs w:val="28"/>
              </w:rPr>
            </w:pPr>
            <w:r w:rsidRPr="00560076">
              <w:rPr>
                <w:rFonts w:eastAsia="Times New Roman" w:cs="Times New Roman"/>
                <w:b/>
                <w:bCs/>
                <w:szCs w:val="28"/>
              </w:rPr>
              <w:t>CÂY RỪNG TỰ NHIÊN</w:t>
            </w:r>
          </w:p>
        </w:tc>
        <w:tc>
          <w:tcPr>
            <w:tcW w:w="839"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p>
        </w:tc>
        <w:tc>
          <w:tcPr>
            <w:tcW w:w="82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b/>
                <w:bCs/>
                <w:szCs w:val="28"/>
              </w:rPr>
            </w:pPr>
          </w:p>
        </w:tc>
      </w:tr>
      <w:tr w:rsidR="00560076" w:rsidRPr="00560076" w:rsidTr="00BA18B8">
        <w:tc>
          <w:tcPr>
            <w:tcW w:w="362" w:type="pct"/>
            <w:shd w:val="clear" w:color="auto" w:fill="DBE5F1" w:themeFill="accent1" w:themeFillTint="33"/>
            <w:vAlign w:val="center"/>
          </w:tcPr>
          <w:p w:rsidR="00560076" w:rsidRPr="00560076" w:rsidRDefault="00560076" w:rsidP="00560076">
            <w:pPr>
              <w:tabs>
                <w:tab w:val="left" w:pos="1302"/>
              </w:tabs>
              <w:spacing w:before="60" w:after="60"/>
              <w:jc w:val="center"/>
              <w:rPr>
                <w:rFonts w:eastAsia="Times New Roman" w:cs="Times New Roman"/>
                <w:szCs w:val="28"/>
              </w:rPr>
            </w:pPr>
          </w:p>
        </w:tc>
        <w:tc>
          <w:tcPr>
            <w:tcW w:w="4638" w:type="pct"/>
            <w:gridSpan w:val="3"/>
            <w:shd w:val="clear" w:color="auto" w:fill="DBE5F1" w:themeFill="accent1" w:themeFillTint="33"/>
            <w:vAlign w:val="center"/>
          </w:tcPr>
          <w:p w:rsidR="00560076" w:rsidRPr="00560076" w:rsidRDefault="00560076" w:rsidP="00560076">
            <w:pPr>
              <w:tabs>
                <w:tab w:val="left" w:pos="1302"/>
              </w:tabs>
              <w:spacing w:before="60" w:after="60"/>
              <w:jc w:val="both"/>
              <w:rPr>
                <w:rFonts w:eastAsia="Times New Roman" w:cs="Times New Roman"/>
                <w:i/>
                <w:iCs/>
                <w:szCs w:val="28"/>
              </w:rPr>
            </w:pPr>
            <w:r w:rsidRPr="00560076">
              <w:rPr>
                <w:rFonts w:eastAsia="Times New Roman" w:cs="Times New Roman"/>
                <w:i/>
                <w:iCs/>
                <w:szCs w:val="28"/>
              </w:rPr>
              <w:t xml:space="preserve">- Giá trị bồi thường được tính bằng giá rừng tự nhiên; </w:t>
            </w:r>
          </w:p>
          <w:p w:rsidR="00560076" w:rsidRPr="00560076" w:rsidRDefault="00560076" w:rsidP="00560076">
            <w:pPr>
              <w:tabs>
                <w:tab w:val="left" w:pos="1302"/>
              </w:tabs>
              <w:spacing w:before="60" w:after="60"/>
              <w:jc w:val="both"/>
              <w:rPr>
                <w:rFonts w:eastAsia="Times New Roman" w:cs="Times New Roman"/>
                <w:i/>
                <w:iCs/>
                <w:szCs w:val="28"/>
              </w:rPr>
            </w:pPr>
            <w:r w:rsidRPr="00560076">
              <w:rPr>
                <w:rFonts w:eastAsia="Times New Roman" w:cs="Times New Roman"/>
                <w:i/>
                <w:iCs/>
                <w:szCs w:val="28"/>
              </w:rPr>
              <w:t>- Phương pháp định giá rừng tự nhiên thực hiện theo quy định tại Chương II Thông tư số 20/2023/TT-BNNPTNT ngày 15/12/2023 của Bộ Nông nghiệp và PTNT quy định phương pháp định giá rừng; hướng dẫn định khung giá rừng và Quyết định số 32/2022/QĐ-UBND ngày 26/8/2022 của UBND tỉnh quy định khung giá các loại rừng trên địa bàn tỉnh Lai Châu hoặc các văn bản sửa đổi, bổ sung, thay thế (nếu có).</w:t>
            </w:r>
          </w:p>
        </w:tc>
      </w:tr>
    </w:tbl>
    <w:p w:rsidR="00560076" w:rsidRPr="00560076" w:rsidRDefault="00560076" w:rsidP="00560076">
      <w:pPr>
        <w:spacing w:before="60" w:after="0" w:line="240" w:lineRule="auto"/>
        <w:jc w:val="center"/>
        <w:rPr>
          <w:rFonts w:eastAsia="Times New Roman" w:cs="Times New Roman"/>
          <w:b/>
          <w:bCs/>
          <w:szCs w:val="28"/>
        </w:rPr>
      </w:pPr>
    </w:p>
    <w:p w:rsidR="00560076" w:rsidRPr="00560076" w:rsidRDefault="00560076" w:rsidP="00560076">
      <w:pPr>
        <w:rPr>
          <w:rFonts w:eastAsia="Times New Roman" w:cs="Times New Roman"/>
          <w:b/>
          <w:bCs/>
          <w:color w:val="000000"/>
          <w:szCs w:val="28"/>
        </w:rPr>
      </w:pPr>
    </w:p>
    <w:p w:rsidR="00A64384" w:rsidRDefault="00A64384"/>
    <w:sectPr w:rsidR="00A64384" w:rsidSect="00ED48FA">
      <w:headerReference w:type="default" r:id="rId5"/>
      <w:pgSz w:w="11907" w:h="16840" w:code="9"/>
      <w:pgMar w:top="1134" w:right="1134" w:bottom="1134" w:left="1701" w:header="567" w:footer="720" w:gutter="0"/>
      <w:pgNumType w:start="1"/>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788299"/>
      <w:docPartObj>
        <w:docPartGallery w:val="Page Numbers (Top of Page)"/>
        <w:docPartUnique/>
      </w:docPartObj>
    </w:sdtPr>
    <w:sdtEndPr>
      <w:rPr>
        <w:noProof/>
        <w:sz w:val="26"/>
        <w:szCs w:val="26"/>
      </w:rPr>
    </w:sdtEndPr>
    <w:sdtContent>
      <w:p w:rsidR="00ED48FA" w:rsidRPr="00ED48FA" w:rsidRDefault="00560076">
        <w:pPr>
          <w:pStyle w:val="Header"/>
          <w:jc w:val="center"/>
          <w:rPr>
            <w:sz w:val="26"/>
            <w:szCs w:val="26"/>
          </w:rPr>
        </w:pPr>
        <w:r w:rsidRPr="00ED48FA">
          <w:rPr>
            <w:sz w:val="26"/>
            <w:szCs w:val="26"/>
          </w:rPr>
          <w:fldChar w:fldCharType="begin"/>
        </w:r>
        <w:r w:rsidRPr="00ED48FA">
          <w:rPr>
            <w:sz w:val="26"/>
            <w:szCs w:val="26"/>
          </w:rPr>
          <w:instrText xml:space="preserve"> PAGE   \* MERGEFORMAT </w:instrText>
        </w:r>
        <w:r w:rsidRPr="00ED48FA">
          <w:rPr>
            <w:sz w:val="26"/>
            <w:szCs w:val="26"/>
          </w:rPr>
          <w:fldChar w:fldCharType="separate"/>
        </w:r>
        <w:r>
          <w:rPr>
            <w:noProof/>
            <w:sz w:val="26"/>
            <w:szCs w:val="26"/>
          </w:rPr>
          <w:t>2</w:t>
        </w:r>
        <w:r w:rsidRPr="00ED48FA">
          <w:rPr>
            <w:noProof/>
            <w:sz w:val="26"/>
            <w:szCs w:val="26"/>
          </w:rPr>
          <w:fldChar w:fldCharType="end"/>
        </w:r>
      </w:p>
    </w:sdtContent>
  </w:sdt>
  <w:p w:rsidR="00ED48FA" w:rsidRDefault="005600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076"/>
    <w:rsid w:val="00560076"/>
    <w:rsid w:val="00770D06"/>
    <w:rsid w:val="00A64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600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0076"/>
  </w:style>
  <w:style w:type="table" w:styleId="TableGrid">
    <w:name w:val="Table Grid"/>
    <w:basedOn w:val="TableNormal"/>
    <w:uiPriority w:val="59"/>
    <w:rsid w:val="00560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600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0076"/>
  </w:style>
  <w:style w:type="table" w:styleId="TableGrid">
    <w:name w:val="Table Grid"/>
    <w:basedOn w:val="TableNormal"/>
    <w:uiPriority w:val="59"/>
    <w:rsid w:val="00560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 LC</dc:creator>
  <cp:lastModifiedBy>SHARP - LC</cp:lastModifiedBy>
  <cp:revision>1</cp:revision>
  <dcterms:created xsi:type="dcterms:W3CDTF">2024-07-26T10:09:00Z</dcterms:created>
  <dcterms:modified xsi:type="dcterms:W3CDTF">2024-07-26T10:10:00Z</dcterms:modified>
</cp:coreProperties>
</file>